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433" w:rsidRPr="0068735C" w:rsidRDefault="004A7433" w:rsidP="0039428F">
      <w:pPr>
        <w:pStyle w:val="Titre1"/>
        <w:spacing w:before="0" w:line="360" w:lineRule="auto"/>
        <w:jc w:val="center"/>
        <w:rPr>
          <w:rFonts w:ascii="Times New Roman" w:hAnsi="Times New Roman" w:cs="Times New Roman"/>
          <w:color w:val="auto"/>
        </w:rPr>
      </w:pPr>
      <w:bookmarkStart w:id="0" w:name="_Toc326838009"/>
      <w:r w:rsidRPr="0068735C">
        <w:rPr>
          <w:rFonts w:ascii="Times New Roman" w:hAnsi="Times New Roman" w:cs="Times New Roman"/>
          <w:color w:val="auto"/>
        </w:rPr>
        <w:t>Chapitre II</w:t>
      </w:r>
    </w:p>
    <w:bookmarkEnd w:id="0"/>
    <w:p w:rsidR="00853069" w:rsidRPr="00853069" w:rsidRDefault="00853069" w:rsidP="00853069">
      <w:pPr>
        <w:jc w:val="center"/>
        <w:rPr>
          <w:b/>
          <w:sz w:val="28"/>
          <w:szCs w:val="28"/>
        </w:rPr>
      </w:pPr>
      <w:r w:rsidRPr="00853069">
        <w:rPr>
          <w:rFonts w:ascii="Times New Roman" w:hAnsi="Times New Roman" w:cs="Times New Roman"/>
          <w:b/>
          <w:sz w:val="28"/>
          <w:szCs w:val="28"/>
        </w:rPr>
        <w:t>Programme expérimental et procédures d’essais</w:t>
      </w:r>
    </w:p>
    <w:p w:rsidR="0039428F" w:rsidRPr="0068735C" w:rsidRDefault="0039428F" w:rsidP="0039428F"/>
    <w:p w:rsidR="00A963B6" w:rsidRPr="0068735C" w:rsidRDefault="00A963B6" w:rsidP="0039428F">
      <w:pPr>
        <w:pStyle w:val="Titre1"/>
        <w:spacing w:before="0" w:line="360" w:lineRule="auto"/>
        <w:rPr>
          <w:rFonts w:asciiTheme="majorBidi" w:hAnsiTheme="majorBidi"/>
          <w:color w:val="auto"/>
          <w:sz w:val="24"/>
          <w:szCs w:val="24"/>
        </w:rPr>
      </w:pPr>
      <w:bookmarkStart w:id="1" w:name="_Toc326838011"/>
      <w:r w:rsidRPr="0068735C">
        <w:rPr>
          <w:rFonts w:asciiTheme="majorBidi" w:hAnsiTheme="majorBidi"/>
          <w:color w:val="auto"/>
          <w:sz w:val="24"/>
          <w:szCs w:val="24"/>
        </w:rPr>
        <w:t>II.1 Introduction :</w:t>
      </w:r>
      <w:bookmarkEnd w:id="1"/>
    </w:p>
    <w:p w:rsidR="009C43F9" w:rsidRPr="0068735C" w:rsidRDefault="00A963B6" w:rsidP="007D355F">
      <w:pPr>
        <w:spacing w:line="360" w:lineRule="auto"/>
        <w:ind w:firstLine="567"/>
        <w:jc w:val="both"/>
        <w:outlineLvl w:val="0"/>
        <w:rPr>
          <w:rFonts w:ascii="Times New Roman" w:hAnsi="Times New Roman" w:cs="Times New Roman"/>
        </w:rPr>
      </w:pPr>
      <w:bookmarkStart w:id="2" w:name="_Toc326838012"/>
      <w:r w:rsidRPr="0068735C">
        <w:rPr>
          <w:rFonts w:ascii="Times New Roman" w:hAnsi="Times New Roman" w:cs="Times New Roman"/>
        </w:rPr>
        <w:t xml:space="preserve">Le programme expérimental a été réalisé </w:t>
      </w:r>
      <w:r w:rsidR="00743830" w:rsidRPr="0068735C">
        <w:rPr>
          <w:rFonts w:ascii="Times New Roman" w:hAnsi="Times New Roman" w:cs="Times New Roman"/>
        </w:rPr>
        <w:t>dans</w:t>
      </w:r>
      <w:r w:rsidRPr="0068735C">
        <w:rPr>
          <w:rFonts w:ascii="Times New Roman" w:hAnsi="Times New Roman" w:cs="Times New Roman"/>
        </w:rPr>
        <w:t xml:space="preserve"> trois </w:t>
      </w:r>
      <w:r w:rsidR="00743830" w:rsidRPr="0068735C">
        <w:rPr>
          <w:rFonts w:ascii="Times New Roman" w:hAnsi="Times New Roman" w:cs="Times New Roman"/>
        </w:rPr>
        <w:t>laboratoires différents et qui sont : le laboratoire du génie civil de l’université de m’sila</w:t>
      </w:r>
      <w:r w:rsidR="007D355F">
        <w:rPr>
          <w:rFonts w:ascii="Times New Roman" w:hAnsi="Times New Roman" w:cs="Times New Roman"/>
        </w:rPr>
        <w:t xml:space="preserve"> </w:t>
      </w:r>
      <w:r w:rsidR="00743830" w:rsidRPr="0068735C">
        <w:rPr>
          <w:rFonts w:ascii="Times New Roman" w:hAnsi="Times New Roman" w:cs="Times New Roman"/>
        </w:rPr>
        <w:t>et le l</w:t>
      </w:r>
      <w:r w:rsidRPr="0068735C">
        <w:rPr>
          <w:rFonts w:ascii="Times New Roman" w:hAnsi="Times New Roman" w:cs="Times New Roman"/>
        </w:rPr>
        <w:t xml:space="preserve">aboratoire Central des Travaux Publics Antenne de M'sila (L.C.T.P), et </w:t>
      </w:r>
      <w:r w:rsidR="00743830" w:rsidRPr="0068735C">
        <w:rPr>
          <w:rFonts w:ascii="Times New Roman" w:hAnsi="Times New Roman" w:cs="Times New Roman"/>
        </w:rPr>
        <w:t xml:space="preserve">le </w:t>
      </w:r>
      <w:r w:rsidRPr="0068735C">
        <w:rPr>
          <w:rFonts w:ascii="Times New Roman" w:hAnsi="Times New Roman" w:cs="Times New Roman"/>
        </w:rPr>
        <w:t>laboratoire</w:t>
      </w:r>
      <w:r w:rsidR="007D355F">
        <w:rPr>
          <w:rFonts w:ascii="Times New Roman" w:hAnsi="Times New Roman" w:cs="Times New Roman"/>
        </w:rPr>
        <w:t xml:space="preserve"> </w:t>
      </w:r>
      <w:r w:rsidR="00743830" w:rsidRPr="0068735C">
        <w:rPr>
          <w:rFonts w:ascii="Times New Roman" w:hAnsi="Times New Roman" w:cs="Times New Roman"/>
        </w:rPr>
        <w:t>du génie civil</w:t>
      </w:r>
      <w:r w:rsidRPr="0068735C">
        <w:rPr>
          <w:rFonts w:ascii="Times New Roman" w:hAnsi="Times New Roman" w:cs="Times New Roman"/>
        </w:rPr>
        <w:t xml:space="preserve"> de université de </w:t>
      </w:r>
      <w:r w:rsidR="00743830" w:rsidRPr="0068735C">
        <w:rPr>
          <w:rFonts w:ascii="Times New Roman" w:hAnsi="Times New Roman" w:cs="Times New Roman"/>
        </w:rPr>
        <w:t xml:space="preserve">bordj </w:t>
      </w:r>
      <w:bookmarkEnd w:id="2"/>
      <w:r w:rsidR="0068735C" w:rsidRPr="0068735C">
        <w:rPr>
          <w:rFonts w:ascii="Times New Roman" w:hAnsi="Times New Roman" w:cs="Times New Roman"/>
        </w:rPr>
        <w:t>Bou Arreridj</w:t>
      </w:r>
      <w:r w:rsidR="00743830" w:rsidRPr="0068735C">
        <w:rPr>
          <w:rFonts w:ascii="Times New Roman" w:hAnsi="Times New Roman" w:cs="Times New Roman"/>
        </w:rPr>
        <w:t>. Ce programme est réparti en deux parties.</w:t>
      </w:r>
    </w:p>
    <w:p w:rsidR="00A963B6" w:rsidRPr="0068735C" w:rsidRDefault="00A963B6" w:rsidP="0039428F">
      <w:pPr>
        <w:pStyle w:val="Titre1"/>
        <w:spacing w:before="0" w:line="360" w:lineRule="auto"/>
        <w:rPr>
          <w:rFonts w:asciiTheme="majorBidi" w:hAnsiTheme="majorBidi"/>
          <w:color w:val="auto"/>
          <w:sz w:val="24"/>
          <w:szCs w:val="24"/>
        </w:rPr>
      </w:pPr>
      <w:bookmarkStart w:id="3" w:name="_Toc326838014"/>
      <w:r w:rsidRPr="0068735C">
        <w:rPr>
          <w:rFonts w:asciiTheme="majorBidi" w:hAnsiTheme="majorBidi"/>
          <w:color w:val="auto"/>
          <w:sz w:val="24"/>
          <w:szCs w:val="24"/>
        </w:rPr>
        <w:t>II.2 Sol non traité :</w:t>
      </w:r>
      <w:bookmarkEnd w:id="3"/>
    </w:p>
    <w:p w:rsidR="00A963B6" w:rsidRPr="0068735C" w:rsidRDefault="00A963B6" w:rsidP="00743830">
      <w:pPr>
        <w:pStyle w:val="Paragraphedeliste"/>
        <w:numPr>
          <w:ilvl w:val="0"/>
          <w:numId w:val="9"/>
        </w:numPr>
        <w:spacing w:line="360" w:lineRule="auto"/>
        <w:rPr>
          <w:rFonts w:ascii="Times New Roman" w:hAnsi="Times New Roman" w:cs="Times New Roman"/>
          <w:b/>
          <w:sz w:val="24"/>
          <w:szCs w:val="24"/>
        </w:rPr>
      </w:pPr>
      <w:r w:rsidRPr="0068735C">
        <w:rPr>
          <w:rFonts w:ascii="Times New Roman" w:hAnsi="Times New Roman" w:cs="Times New Roman"/>
          <w:b/>
          <w:sz w:val="24"/>
          <w:szCs w:val="24"/>
        </w:rPr>
        <w:t>Essais d’identifications :</w:t>
      </w:r>
    </w:p>
    <w:p w:rsidR="00A963B6" w:rsidRPr="0068735C" w:rsidRDefault="00A963B6" w:rsidP="00CD448E">
      <w:pPr>
        <w:pStyle w:val="Paragraphedeliste"/>
        <w:numPr>
          <w:ilvl w:val="0"/>
          <w:numId w:val="5"/>
        </w:numPr>
        <w:spacing w:line="360" w:lineRule="auto"/>
        <w:ind w:left="851"/>
        <w:rPr>
          <w:rFonts w:ascii="Times New Roman" w:hAnsi="Times New Roman" w:cs="Times New Roman"/>
          <w:sz w:val="24"/>
          <w:szCs w:val="24"/>
        </w:rPr>
      </w:pPr>
      <w:r w:rsidRPr="0068735C">
        <w:rPr>
          <w:rFonts w:ascii="Times New Roman" w:hAnsi="Times New Roman" w:cs="Times New Roman"/>
          <w:sz w:val="24"/>
          <w:szCs w:val="24"/>
        </w:rPr>
        <w:t>analyse minéralogique</w:t>
      </w:r>
    </w:p>
    <w:p w:rsidR="00A963B6" w:rsidRPr="0068735C" w:rsidRDefault="00A963B6" w:rsidP="00CD448E">
      <w:pPr>
        <w:pStyle w:val="Paragraphedeliste"/>
        <w:numPr>
          <w:ilvl w:val="0"/>
          <w:numId w:val="5"/>
        </w:numPr>
        <w:spacing w:line="360" w:lineRule="auto"/>
        <w:ind w:left="851"/>
        <w:rPr>
          <w:rFonts w:ascii="Times New Roman" w:hAnsi="Times New Roman" w:cs="Times New Roman"/>
          <w:sz w:val="24"/>
          <w:szCs w:val="24"/>
        </w:rPr>
      </w:pPr>
      <w:r w:rsidRPr="0068735C">
        <w:rPr>
          <w:rFonts w:ascii="Times New Roman" w:hAnsi="Times New Roman" w:cs="Times New Roman"/>
          <w:sz w:val="24"/>
          <w:szCs w:val="24"/>
        </w:rPr>
        <w:t>analyse chimique</w:t>
      </w:r>
    </w:p>
    <w:p w:rsidR="00A963B6" w:rsidRPr="0068735C" w:rsidRDefault="00A963B6" w:rsidP="00CD448E">
      <w:pPr>
        <w:pStyle w:val="Paragraphedeliste"/>
        <w:numPr>
          <w:ilvl w:val="0"/>
          <w:numId w:val="5"/>
        </w:numPr>
        <w:spacing w:line="360" w:lineRule="auto"/>
        <w:ind w:left="851"/>
        <w:rPr>
          <w:rFonts w:ascii="Times New Roman" w:hAnsi="Times New Roman" w:cs="Times New Roman"/>
          <w:sz w:val="24"/>
          <w:szCs w:val="24"/>
        </w:rPr>
      </w:pPr>
      <w:r w:rsidRPr="0068735C">
        <w:rPr>
          <w:rFonts w:ascii="Times New Roman" w:hAnsi="Times New Roman" w:cs="Times New Roman"/>
          <w:sz w:val="24"/>
          <w:szCs w:val="24"/>
        </w:rPr>
        <w:t xml:space="preserve">La teneur en eau. </w:t>
      </w:r>
    </w:p>
    <w:p w:rsidR="00A963B6" w:rsidRPr="0068735C" w:rsidRDefault="00A963B6" w:rsidP="00CD448E">
      <w:pPr>
        <w:pStyle w:val="Paragraphedeliste"/>
        <w:numPr>
          <w:ilvl w:val="0"/>
          <w:numId w:val="5"/>
        </w:numPr>
        <w:spacing w:line="360" w:lineRule="auto"/>
        <w:ind w:left="851"/>
        <w:rPr>
          <w:rFonts w:ascii="Times New Roman" w:hAnsi="Times New Roman" w:cs="Times New Roman"/>
          <w:sz w:val="24"/>
          <w:szCs w:val="24"/>
        </w:rPr>
      </w:pPr>
      <w:r w:rsidRPr="0068735C">
        <w:rPr>
          <w:rFonts w:ascii="Times New Roman" w:hAnsi="Times New Roman" w:cs="Times New Roman"/>
          <w:sz w:val="24"/>
          <w:szCs w:val="24"/>
        </w:rPr>
        <w:t>Le poids volumique sec et humide.</w:t>
      </w:r>
    </w:p>
    <w:p w:rsidR="00A963B6" w:rsidRPr="0068735C" w:rsidRDefault="00A963B6" w:rsidP="00CD448E">
      <w:pPr>
        <w:pStyle w:val="Paragraphedeliste"/>
        <w:numPr>
          <w:ilvl w:val="0"/>
          <w:numId w:val="5"/>
        </w:numPr>
        <w:spacing w:line="360" w:lineRule="auto"/>
        <w:ind w:left="851"/>
        <w:rPr>
          <w:rFonts w:ascii="Times New Roman" w:hAnsi="Times New Roman" w:cs="Times New Roman"/>
          <w:sz w:val="24"/>
          <w:szCs w:val="24"/>
        </w:rPr>
      </w:pPr>
      <w:r w:rsidRPr="0068735C">
        <w:rPr>
          <w:rFonts w:ascii="Times New Roman" w:hAnsi="Times New Roman" w:cs="Times New Roman"/>
          <w:sz w:val="24"/>
          <w:szCs w:val="24"/>
        </w:rPr>
        <w:t xml:space="preserve">La granulométrie (par tamisage, </w:t>
      </w:r>
      <w:r w:rsidR="00743830" w:rsidRPr="0068735C">
        <w:rPr>
          <w:rFonts w:ascii="Times New Roman" w:hAnsi="Times New Roman" w:cs="Times New Roman"/>
          <w:sz w:val="24"/>
          <w:szCs w:val="24"/>
        </w:rPr>
        <w:t xml:space="preserve">et </w:t>
      </w:r>
      <w:r w:rsidRPr="0068735C">
        <w:rPr>
          <w:rFonts w:ascii="Times New Roman" w:hAnsi="Times New Roman" w:cs="Times New Roman"/>
          <w:sz w:val="24"/>
          <w:szCs w:val="24"/>
        </w:rPr>
        <w:t>par sédimentométrie).</w:t>
      </w:r>
    </w:p>
    <w:p w:rsidR="00A963B6" w:rsidRPr="0068735C" w:rsidRDefault="00A963B6" w:rsidP="00CD448E">
      <w:pPr>
        <w:pStyle w:val="Paragraphedeliste"/>
        <w:numPr>
          <w:ilvl w:val="0"/>
          <w:numId w:val="5"/>
        </w:numPr>
        <w:spacing w:line="360" w:lineRule="auto"/>
        <w:ind w:left="851"/>
        <w:rPr>
          <w:rFonts w:ascii="Times New Roman" w:hAnsi="Times New Roman" w:cs="Times New Roman"/>
          <w:sz w:val="24"/>
          <w:szCs w:val="24"/>
        </w:rPr>
      </w:pPr>
      <w:r w:rsidRPr="0068735C">
        <w:rPr>
          <w:rFonts w:ascii="Times New Roman" w:hAnsi="Times New Roman" w:cs="Times New Roman"/>
          <w:sz w:val="24"/>
          <w:szCs w:val="24"/>
        </w:rPr>
        <w:t>Les limites d’</w:t>
      </w:r>
      <w:r w:rsidR="005C5AC4" w:rsidRPr="0068735C">
        <w:rPr>
          <w:rFonts w:ascii="Times New Roman" w:hAnsi="Times New Roman" w:cs="Times New Roman"/>
          <w:sz w:val="24"/>
          <w:szCs w:val="24"/>
        </w:rPr>
        <w:t>Atterberg</w:t>
      </w:r>
      <w:r w:rsidRPr="0068735C">
        <w:rPr>
          <w:rFonts w:ascii="Times New Roman" w:hAnsi="Times New Roman" w:cs="Times New Roman"/>
          <w:sz w:val="24"/>
          <w:szCs w:val="24"/>
        </w:rPr>
        <w:t xml:space="preserve">. </w:t>
      </w:r>
    </w:p>
    <w:p w:rsidR="00A963B6" w:rsidRPr="0068735C" w:rsidRDefault="00A963B6" w:rsidP="00CD448E">
      <w:pPr>
        <w:pStyle w:val="Paragraphedeliste"/>
        <w:numPr>
          <w:ilvl w:val="0"/>
          <w:numId w:val="5"/>
        </w:numPr>
        <w:spacing w:line="360" w:lineRule="auto"/>
        <w:ind w:left="851"/>
        <w:rPr>
          <w:rFonts w:ascii="Times New Roman" w:hAnsi="Times New Roman" w:cs="Times New Roman"/>
          <w:sz w:val="24"/>
          <w:szCs w:val="24"/>
        </w:rPr>
      </w:pPr>
      <w:r w:rsidRPr="0068735C">
        <w:rPr>
          <w:rFonts w:ascii="Times New Roman" w:hAnsi="Times New Roman" w:cs="Times New Roman"/>
          <w:sz w:val="24"/>
          <w:szCs w:val="24"/>
        </w:rPr>
        <w:t>L’essai au bleu de méthylène.</w:t>
      </w:r>
    </w:p>
    <w:p w:rsidR="00A963B6" w:rsidRPr="0068735C" w:rsidRDefault="00743830" w:rsidP="00CD448E">
      <w:pPr>
        <w:pStyle w:val="Paragraphedeliste"/>
        <w:numPr>
          <w:ilvl w:val="0"/>
          <w:numId w:val="5"/>
        </w:numPr>
        <w:spacing w:line="360" w:lineRule="auto"/>
        <w:ind w:left="851"/>
        <w:rPr>
          <w:rFonts w:ascii="Times New Roman" w:hAnsi="Times New Roman" w:cs="Times New Roman"/>
          <w:sz w:val="24"/>
          <w:szCs w:val="24"/>
        </w:rPr>
      </w:pPr>
      <w:r w:rsidRPr="0068735C">
        <w:rPr>
          <w:rFonts w:ascii="Times New Roman" w:hAnsi="Times New Roman" w:cs="Times New Roman"/>
          <w:sz w:val="24"/>
          <w:szCs w:val="24"/>
        </w:rPr>
        <w:t>L’essai de d</w:t>
      </w:r>
      <w:r w:rsidR="00A963B6" w:rsidRPr="0068735C">
        <w:rPr>
          <w:rFonts w:ascii="Times New Roman" w:hAnsi="Times New Roman" w:cs="Times New Roman"/>
          <w:sz w:val="24"/>
          <w:szCs w:val="24"/>
        </w:rPr>
        <w:t>égradabilité.</w:t>
      </w:r>
    </w:p>
    <w:p w:rsidR="00A963B6" w:rsidRPr="0068735C" w:rsidRDefault="00743830" w:rsidP="00CD448E">
      <w:pPr>
        <w:pStyle w:val="Paragraphedeliste"/>
        <w:numPr>
          <w:ilvl w:val="0"/>
          <w:numId w:val="5"/>
        </w:numPr>
        <w:spacing w:line="360" w:lineRule="auto"/>
        <w:ind w:left="851"/>
        <w:rPr>
          <w:rFonts w:ascii="Times New Roman" w:hAnsi="Times New Roman" w:cs="Times New Roman"/>
          <w:sz w:val="24"/>
          <w:szCs w:val="24"/>
        </w:rPr>
      </w:pPr>
      <w:r w:rsidRPr="0068735C">
        <w:rPr>
          <w:rFonts w:ascii="Times New Roman" w:hAnsi="Times New Roman" w:cs="Times New Roman"/>
          <w:sz w:val="24"/>
          <w:szCs w:val="24"/>
        </w:rPr>
        <w:t>L’essai de f</w:t>
      </w:r>
      <w:r w:rsidR="00A963B6" w:rsidRPr="0068735C">
        <w:rPr>
          <w:rFonts w:ascii="Times New Roman" w:hAnsi="Times New Roman" w:cs="Times New Roman"/>
          <w:sz w:val="24"/>
          <w:szCs w:val="24"/>
        </w:rPr>
        <w:t>ragmentabilité.</w:t>
      </w:r>
    </w:p>
    <w:p w:rsidR="00A963B6" w:rsidRPr="0068735C" w:rsidRDefault="00A963B6" w:rsidP="00743830">
      <w:pPr>
        <w:pStyle w:val="Paragraphedeliste"/>
        <w:numPr>
          <w:ilvl w:val="0"/>
          <w:numId w:val="9"/>
        </w:numPr>
        <w:spacing w:line="360" w:lineRule="auto"/>
        <w:rPr>
          <w:rFonts w:ascii="Times New Roman" w:hAnsi="Times New Roman" w:cs="Times New Roman"/>
          <w:b/>
          <w:sz w:val="24"/>
          <w:szCs w:val="24"/>
        </w:rPr>
      </w:pPr>
      <w:r w:rsidRPr="0068735C">
        <w:rPr>
          <w:rFonts w:ascii="Times New Roman" w:hAnsi="Times New Roman" w:cs="Times New Roman"/>
          <w:b/>
          <w:sz w:val="24"/>
          <w:szCs w:val="24"/>
        </w:rPr>
        <w:t>Essais mécaniques :</w:t>
      </w:r>
    </w:p>
    <w:p w:rsidR="00A963B6" w:rsidRPr="0068735C" w:rsidRDefault="00C8316B" w:rsidP="00CD448E">
      <w:pPr>
        <w:pStyle w:val="Paragraphedeliste"/>
        <w:numPr>
          <w:ilvl w:val="0"/>
          <w:numId w:val="6"/>
        </w:numPr>
        <w:spacing w:line="360" w:lineRule="auto"/>
        <w:ind w:left="851" w:hanging="425"/>
        <w:rPr>
          <w:rFonts w:ascii="Times New Roman" w:hAnsi="Times New Roman" w:cs="Times New Roman"/>
          <w:sz w:val="24"/>
          <w:szCs w:val="24"/>
        </w:rPr>
      </w:pPr>
      <w:r w:rsidRPr="0068735C">
        <w:rPr>
          <w:rFonts w:ascii="Times New Roman" w:hAnsi="Times New Roman" w:cs="Times New Roman"/>
          <w:sz w:val="24"/>
          <w:szCs w:val="24"/>
        </w:rPr>
        <w:t>Proctor normal</w:t>
      </w:r>
      <w:r w:rsidR="00A963B6" w:rsidRPr="0068735C">
        <w:rPr>
          <w:rFonts w:ascii="Times New Roman" w:hAnsi="Times New Roman" w:cs="Times New Roman"/>
          <w:sz w:val="24"/>
          <w:szCs w:val="24"/>
        </w:rPr>
        <w:t>.</w:t>
      </w:r>
    </w:p>
    <w:p w:rsidR="00A963B6" w:rsidRPr="0068735C" w:rsidRDefault="00A963B6" w:rsidP="00CD448E">
      <w:pPr>
        <w:pStyle w:val="Paragraphedeliste"/>
        <w:numPr>
          <w:ilvl w:val="0"/>
          <w:numId w:val="6"/>
        </w:numPr>
        <w:spacing w:line="360" w:lineRule="auto"/>
        <w:ind w:left="851" w:hanging="425"/>
        <w:rPr>
          <w:rFonts w:ascii="Times New Roman" w:hAnsi="Times New Roman" w:cs="Times New Roman"/>
          <w:sz w:val="24"/>
          <w:szCs w:val="24"/>
        </w:rPr>
      </w:pPr>
      <w:r w:rsidRPr="0068735C">
        <w:rPr>
          <w:rFonts w:ascii="Times New Roman" w:hAnsi="Times New Roman" w:cs="Times New Roman"/>
          <w:sz w:val="24"/>
          <w:szCs w:val="24"/>
        </w:rPr>
        <w:t xml:space="preserve">Essai C.B.R. immédiat et après imbibition. </w:t>
      </w:r>
    </w:p>
    <w:p w:rsidR="00A963B6" w:rsidRPr="0068735C" w:rsidRDefault="00C8316B" w:rsidP="00CD448E">
      <w:pPr>
        <w:pStyle w:val="Paragraphedeliste"/>
        <w:numPr>
          <w:ilvl w:val="0"/>
          <w:numId w:val="6"/>
        </w:numPr>
        <w:spacing w:line="360" w:lineRule="auto"/>
        <w:ind w:left="851" w:hanging="425"/>
        <w:rPr>
          <w:rFonts w:ascii="Times New Roman" w:hAnsi="Times New Roman" w:cs="Times New Roman"/>
          <w:sz w:val="24"/>
          <w:szCs w:val="24"/>
        </w:rPr>
      </w:pPr>
      <w:r w:rsidRPr="0068735C">
        <w:rPr>
          <w:rFonts w:ascii="Times New Roman" w:hAnsi="Times New Roman" w:cs="Times New Roman"/>
          <w:sz w:val="24"/>
          <w:szCs w:val="24"/>
        </w:rPr>
        <w:t xml:space="preserve">Essai </w:t>
      </w:r>
      <w:r w:rsidR="009C43F9" w:rsidRPr="0068735C">
        <w:rPr>
          <w:rFonts w:ascii="Times New Roman" w:hAnsi="Times New Roman" w:cs="Times New Roman"/>
          <w:sz w:val="24"/>
          <w:szCs w:val="24"/>
        </w:rPr>
        <w:t>à</w:t>
      </w:r>
      <w:r w:rsidRPr="0068735C">
        <w:rPr>
          <w:rFonts w:ascii="Times New Roman" w:hAnsi="Times New Roman" w:cs="Times New Roman"/>
          <w:sz w:val="24"/>
          <w:szCs w:val="24"/>
        </w:rPr>
        <w:t xml:space="preserve"> la boite de c</w:t>
      </w:r>
      <w:r w:rsidR="00A963B6" w:rsidRPr="0068735C">
        <w:rPr>
          <w:rFonts w:ascii="Times New Roman" w:hAnsi="Times New Roman" w:cs="Times New Roman"/>
          <w:sz w:val="24"/>
          <w:szCs w:val="24"/>
        </w:rPr>
        <w:t xml:space="preserve">isaillement </w:t>
      </w:r>
    </w:p>
    <w:p w:rsidR="00A963B6" w:rsidRPr="0068735C" w:rsidRDefault="009C43F9" w:rsidP="00CD448E">
      <w:pPr>
        <w:pStyle w:val="Paragraphedeliste"/>
        <w:numPr>
          <w:ilvl w:val="0"/>
          <w:numId w:val="6"/>
        </w:numPr>
        <w:spacing w:line="360" w:lineRule="auto"/>
        <w:ind w:left="851" w:hanging="425"/>
        <w:rPr>
          <w:rFonts w:ascii="Times New Roman" w:hAnsi="Times New Roman" w:cs="Times New Roman"/>
          <w:sz w:val="24"/>
          <w:szCs w:val="24"/>
        </w:rPr>
      </w:pPr>
      <w:r w:rsidRPr="0068735C">
        <w:rPr>
          <w:rFonts w:ascii="Times New Roman" w:hAnsi="Times New Roman" w:cs="Times New Roman"/>
          <w:sz w:val="24"/>
          <w:szCs w:val="24"/>
        </w:rPr>
        <w:t>Essai de g</w:t>
      </w:r>
      <w:r w:rsidR="00A963B6" w:rsidRPr="0068735C">
        <w:rPr>
          <w:rFonts w:ascii="Times New Roman" w:hAnsi="Times New Roman" w:cs="Times New Roman"/>
          <w:sz w:val="24"/>
          <w:szCs w:val="24"/>
        </w:rPr>
        <w:t>onflement libre</w:t>
      </w:r>
      <w:r w:rsidRPr="0068735C">
        <w:rPr>
          <w:rFonts w:ascii="Times New Roman" w:hAnsi="Times New Roman" w:cs="Times New Roman"/>
          <w:sz w:val="24"/>
          <w:szCs w:val="24"/>
        </w:rPr>
        <w:t>.</w:t>
      </w:r>
    </w:p>
    <w:p w:rsidR="00A963B6" w:rsidRPr="0068735C" w:rsidRDefault="00A963B6" w:rsidP="0039428F">
      <w:pPr>
        <w:spacing w:line="360" w:lineRule="auto"/>
        <w:ind w:firstLine="567"/>
        <w:jc w:val="both"/>
        <w:rPr>
          <w:rFonts w:asciiTheme="majorBidi" w:hAnsiTheme="majorBidi" w:cstheme="majorBidi"/>
          <w:sz w:val="24"/>
          <w:szCs w:val="24"/>
        </w:rPr>
      </w:pPr>
      <w:r w:rsidRPr="0068735C">
        <w:rPr>
          <w:rFonts w:asciiTheme="majorBidi" w:hAnsiTheme="majorBidi" w:cstheme="majorBidi"/>
          <w:b/>
          <w:sz w:val="24"/>
          <w:szCs w:val="24"/>
        </w:rPr>
        <w:t>N.B</w:t>
      </w:r>
      <w:r w:rsidRPr="0068735C">
        <w:rPr>
          <w:rFonts w:asciiTheme="majorBidi" w:hAnsiTheme="majorBidi" w:cstheme="majorBidi"/>
          <w:sz w:val="24"/>
          <w:szCs w:val="24"/>
        </w:rPr>
        <w:t> : Les procédures expérimentales suivies dans chaque type d’essai ont été conformes au tant que possible aux méthodes d’essais en vigueur.</w:t>
      </w:r>
    </w:p>
    <w:p w:rsidR="009C43F9" w:rsidRPr="0068735C" w:rsidRDefault="009C43F9" w:rsidP="0039428F">
      <w:pPr>
        <w:spacing w:line="360" w:lineRule="auto"/>
        <w:ind w:firstLine="567"/>
        <w:jc w:val="both"/>
        <w:rPr>
          <w:rFonts w:asciiTheme="majorBidi" w:hAnsiTheme="majorBidi" w:cstheme="majorBidi"/>
          <w:sz w:val="24"/>
          <w:szCs w:val="24"/>
        </w:rPr>
      </w:pPr>
    </w:p>
    <w:p w:rsidR="009C43F9" w:rsidRPr="0068735C" w:rsidRDefault="009C43F9" w:rsidP="0039428F">
      <w:pPr>
        <w:spacing w:line="360" w:lineRule="auto"/>
        <w:ind w:firstLine="567"/>
        <w:jc w:val="both"/>
        <w:rPr>
          <w:rFonts w:asciiTheme="majorBidi" w:hAnsiTheme="majorBidi" w:cstheme="majorBidi"/>
          <w:sz w:val="24"/>
          <w:szCs w:val="24"/>
        </w:rPr>
      </w:pPr>
    </w:p>
    <w:p w:rsidR="00A963B6" w:rsidRPr="0068735C" w:rsidRDefault="00A963B6" w:rsidP="0039428F">
      <w:pPr>
        <w:pStyle w:val="Titre1"/>
        <w:spacing w:before="0" w:line="360" w:lineRule="auto"/>
        <w:rPr>
          <w:rFonts w:ascii="Times New Roman" w:hAnsi="Times New Roman" w:cs="Times New Roman"/>
          <w:color w:val="auto"/>
          <w:sz w:val="24"/>
          <w:szCs w:val="24"/>
        </w:rPr>
      </w:pPr>
      <w:bookmarkStart w:id="4" w:name="_Toc326838015"/>
      <w:r w:rsidRPr="0068735C">
        <w:rPr>
          <w:rFonts w:ascii="Times New Roman" w:hAnsi="Times New Roman" w:cs="Times New Roman"/>
          <w:color w:val="auto"/>
          <w:sz w:val="24"/>
          <w:szCs w:val="24"/>
        </w:rPr>
        <w:lastRenderedPageBreak/>
        <w:t>II.2.1 Essais d’identifications :</w:t>
      </w:r>
      <w:bookmarkEnd w:id="4"/>
    </w:p>
    <w:p w:rsidR="00A963B6" w:rsidRPr="0068735C" w:rsidRDefault="00A963B6" w:rsidP="0039428F">
      <w:pPr>
        <w:pStyle w:val="Titre2"/>
        <w:spacing w:before="0" w:line="360" w:lineRule="auto"/>
        <w:rPr>
          <w:rFonts w:ascii="Times New Roman" w:hAnsi="Times New Roman" w:cs="Times New Roman"/>
          <w:color w:val="auto"/>
          <w:sz w:val="24"/>
          <w:szCs w:val="24"/>
        </w:rPr>
      </w:pPr>
      <w:bookmarkStart w:id="5" w:name="_Toc326838016"/>
      <w:r w:rsidRPr="0068735C">
        <w:rPr>
          <w:rFonts w:ascii="Times New Roman" w:hAnsi="Times New Roman" w:cs="Times New Roman"/>
          <w:color w:val="auto"/>
          <w:sz w:val="24"/>
          <w:szCs w:val="24"/>
        </w:rPr>
        <w:t>II.2.1.1 :</w:t>
      </w:r>
      <w:r w:rsidR="009C43F9" w:rsidRPr="0068735C">
        <w:rPr>
          <w:rFonts w:ascii="Times New Roman" w:hAnsi="Times New Roman" w:cs="Times New Roman"/>
          <w:color w:val="auto"/>
          <w:sz w:val="24"/>
          <w:szCs w:val="24"/>
        </w:rPr>
        <w:t xml:space="preserve"> A</w:t>
      </w:r>
      <w:r w:rsidRPr="0068735C">
        <w:rPr>
          <w:rFonts w:ascii="Times New Roman" w:hAnsi="Times New Roman" w:cs="Times New Roman"/>
          <w:color w:val="auto"/>
          <w:sz w:val="24"/>
          <w:szCs w:val="24"/>
        </w:rPr>
        <w:t>nalyse minéralogique :</w:t>
      </w:r>
      <w:bookmarkEnd w:id="5"/>
    </w:p>
    <w:p w:rsidR="009C43F9" w:rsidRPr="0068735C" w:rsidRDefault="00A963B6" w:rsidP="007D355F">
      <w:pPr>
        <w:autoSpaceDE w:val="0"/>
        <w:autoSpaceDN w:val="0"/>
        <w:adjustRightInd w:val="0"/>
        <w:spacing w:line="360" w:lineRule="auto"/>
        <w:ind w:firstLine="567"/>
        <w:jc w:val="both"/>
        <w:rPr>
          <w:rFonts w:asciiTheme="majorBidi" w:hAnsiTheme="majorBidi" w:cstheme="majorBidi"/>
          <w:sz w:val="24"/>
          <w:szCs w:val="24"/>
        </w:rPr>
      </w:pPr>
      <w:r w:rsidRPr="0068735C">
        <w:rPr>
          <w:rFonts w:ascii="Times New Roman" w:hAnsi="Times New Roman" w:cs="Times New Roman"/>
          <w:sz w:val="24"/>
          <w:szCs w:val="24"/>
        </w:rPr>
        <w:t>L'analyse minéralogique qualitative a été effectuée</w:t>
      </w:r>
      <w:r w:rsidR="009C43F9" w:rsidRPr="0068735C">
        <w:rPr>
          <w:rFonts w:ascii="Times New Roman" w:hAnsi="Times New Roman" w:cs="Times New Roman"/>
          <w:sz w:val="24"/>
          <w:szCs w:val="24"/>
        </w:rPr>
        <w:t xml:space="preserve"> au département de physique l’université de M’sila </w:t>
      </w:r>
      <w:r w:rsidRPr="0068735C">
        <w:rPr>
          <w:rFonts w:ascii="Times New Roman" w:hAnsi="Times New Roman" w:cs="Times New Roman"/>
          <w:sz w:val="24"/>
          <w:szCs w:val="24"/>
        </w:rPr>
        <w:t xml:space="preserve"> par le biais de l'enregistrement au diffractomètre dans les conditions standard de laboratoire. Les rayons X tout comme la</w:t>
      </w:r>
      <w:r w:rsidR="007D355F">
        <w:rPr>
          <w:rFonts w:ascii="Times New Roman" w:hAnsi="Times New Roman" w:cs="Times New Roman"/>
          <w:sz w:val="24"/>
          <w:szCs w:val="24"/>
        </w:rPr>
        <w:t xml:space="preserve"> </w:t>
      </w:r>
      <w:r w:rsidRPr="0068735C">
        <w:rPr>
          <w:rFonts w:ascii="Times New Roman" w:hAnsi="Times New Roman" w:cs="Times New Roman"/>
          <w:sz w:val="24"/>
          <w:szCs w:val="24"/>
        </w:rPr>
        <w:t>lumière</w:t>
      </w:r>
      <w:r w:rsidR="007D355F">
        <w:rPr>
          <w:rFonts w:ascii="Times New Roman" w:hAnsi="Times New Roman" w:cs="Times New Roman"/>
          <w:sz w:val="24"/>
          <w:szCs w:val="24"/>
        </w:rPr>
        <w:t xml:space="preserve"> </w:t>
      </w:r>
      <w:r w:rsidRPr="0068735C">
        <w:rPr>
          <w:rFonts w:ascii="Times New Roman" w:hAnsi="Times New Roman" w:cs="Times New Roman"/>
          <w:sz w:val="24"/>
          <w:szCs w:val="24"/>
        </w:rPr>
        <w:t>sont des rayonnements électromagnétiques mais de longueurs d'ondes très c</w:t>
      </w:r>
      <w:r w:rsidR="005C5AC4" w:rsidRPr="0068735C">
        <w:rPr>
          <w:rFonts w:ascii="Times New Roman" w:hAnsi="Times New Roman" w:cs="Times New Roman"/>
          <w:sz w:val="24"/>
          <w:szCs w:val="24"/>
        </w:rPr>
        <w:t>our</w:t>
      </w:r>
      <w:r w:rsidR="00091666" w:rsidRPr="0068735C">
        <w:rPr>
          <w:rFonts w:ascii="Times New Roman" w:hAnsi="Times New Roman" w:cs="Times New Roman"/>
          <w:sz w:val="24"/>
          <w:szCs w:val="24"/>
        </w:rPr>
        <w:t>tes.</w:t>
      </w:r>
      <w:r w:rsidRPr="0068735C">
        <w:rPr>
          <w:rFonts w:asciiTheme="majorBidi" w:hAnsiTheme="majorBidi" w:cstheme="majorBidi"/>
          <w:sz w:val="24"/>
          <w:szCs w:val="24"/>
        </w:rPr>
        <w:tab/>
      </w:r>
    </w:p>
    <w:p w:rsidR="00A963B6" w:rsidRPr="0068735C" w:rsidRDefault="00A963B6" w:rsidP="0039428F">
      <w:pPr>
        <w:pStyle w:val="Titre2"/>
        <w:spacing w:before="0" w:line="360" w:lineRule="auto"/>
        <w:rPr>
          <w:rFonts w:ascii="Times New Roman" w:hAnsi="Times New Roman" w:cs="Times New Roman"/>
          <w:color w:val="auto"/>
          <w:sz w:val="24"/>
          <w:szCs w:val="24"/>
        </w:rPr>
      </w:pPr>
      <w:bookmarkStart w:id="6" w:name="_Toc326838017"/>
      <w:r w:rsidRPr="0068735C">
        <w:rPr>
          <w:rFonts w:ascii="Times New Roman" w:hAnsi="Times New Roman" w:cs="Times New Roman"/>
          <w:color w:val="auto"/>
          <w:sz w:val="24"/>
          <w:szCs w:val="24"/>
        </w:rPr>
        <w:t>II.2.1.2 analyse chimiques :</w:t>
      </w:r>
      <w:bookmarkEnd w:id="6"/>
    </w:p>
    <w:p w:rsidR="00A963B6" w:rsidRPr="0068735C" w:rsidRDefault="00A963B6" w:rsidP="0039428F">
      <w:pPr>
        <w:autoSpaceDE w:val="0"/>
        <w:autoSpaceDN w:val="0"/>
        <w:adjustRightInd w:val="0"/>
        <w:spacing w:after="0" w:line="360" w:lineRule="auto"/>
        <w:ind w:firstLine="426"/>
        <w:rPr>
          <w:rFonts w:ascii="Times New Roman" w:hAnsi="Times New Roman" w:cs="Times New Roman"/>
          <w:sz w:val="24"/>
          <w:szCs w:val="24"/>
        </w:rPr>
      </w:pPr>
      <w:r w:rsidRPr="0068735C">
        <w:rPr>
          <w:rFonts w:ascii="Times New Roman" w:hAnsi="Times New Roman" w:cs="Times New Roman"/>
          <w:sz w:val="24"/>
          <w:szCs w:val="24"/>
        </w:rPr>
        <w:t>Le but de cet essai est de déterminer la nature chimique des échantillons choisis. Cette étape</w:t>
      </w:r>
      <w:r w:rsidR="007D355F">
        <w:rPr>
          <w:rFonts w:ascii="Times New Roman" w:hAnsi="Times New Roman" w:cs="Times New Roman"/>
          <w:sz w:val="24"/>
          <w:szCs w:val="24"/>
        </w:rPr>
        <w:t xml:space="preserve"> </w:t>
      </w:r>
      <w:r w:rsidRPr="0068735C">
        <w:rPr>
          <w:rFonts w:ascii="Times New Roman" w:hAnsi="Times New Roman" w:cs="Times New Roman"/>
          <w:sz w:val="24"/>
          <w:szCs w:val="24"/>
        </w:rPr>
        <w:t>étant importante dans l’identification des matériaux locaux utilisés en construction.</w:t>
      </w:r>
    </w:p>
    <w:p w:rsidR="00E56FA7" w:rsidRPr="0068735C" w:rsidRDefault="00E56FA7" w:rsidP="0039428F">
      <w:pPr>
        <w:autoSpaceDE w:val="0"/>
        <w:autoSpaceDN w:val="0"/>
        <w:adjustRightInd w:val="0"/>
        <w:spacing w:after="0" w:line="360" w:lineRule="auto"/>
        <w:ind w:firstLine="426"/>
        <w:rPr>
          <w:rFonts w:ascii="Times New Roman" w:hAnsi="Times New Roman" w:cs="Times New Roman"/>
          <w:sz w:val="24"/>
          <w:szCs w:val="24"/>
        </w:rPr>
      </w:pPr>
    </w:p>
    <w:p w:rsidR="00A963B6" w:rsidRPr="0068735C" w:rsidRDefault="00A963B6" w:rsidP="0039428F">
      <w:pPr>
        <w:pStyle w:val="Titre2"/>
        <w:spacing w:before="0" w:line="360" w:lineRule="auto"/>
        <w:rPr>
          <w:rFonts w:ascii="Times New Roman" w:hAnsi="Times New Roman" w:cs="Times New Roman"/>
          <w:color w:val="auto"/>
          <w:sz w:val="24"/>
          <w:szCs w:val="24"/>
        </w:rPr>
      </w:pPr>
      <w:bookmarkStart w:id="7" w:name="_Toc326838018"/>
      <w:r w:rsidRPr="0068735C">
        <w:rPr>
          <w:rFonts w:ascii="Times New Roman" w:hAnsi="Times New Roman" w:cs="Times New Roman"/>
          <w:color w:val="auto"/>
          <w:sz w:val="24"/>
          <w:szCs w:val="24"/>
        </w:rPr>
        <w:t>II.2.1.3 Paramètres</w:t>
      </w:r>
      <w:r w:rsidR="007D355F">
        <w:rPr>
          <w:rFonts w:ascii="Times New Roman" w:hAnsi="Times New Roman" w:cs="Times New Roman"/>
          <w:color w:val="auto"/>
          <w:sz w:val="24"/>
          <w:szCs w:val="24"/>
        </w:rPr>
        <w:t xml:space="preserve"> </w:t>
      </w:r>
      <w:r w:rsidRPr="0068735C">
        <w:rPr>
          <w:rFonts w:ascii="Times New Roman" w:hAnsi="Times New Roman" w:cs="Times New Roman"/>
          <w:color w:val="auto"/>
          <w:sz w:val="24"/>
          <w:szCs w:val="24"/>
        </w:rPr>
        <w:t>d’état:</w:t>
      </w:r>
      <w:bookmarkEnd w:id="7"/>
    </w:p>
    <w:p w:rsidR="00A963B6" w:rsidRPr="0068735C" w:rsidRDefault="00A963B6" w:rsidP="0039428F">
      <w:pPr>
        <w:autoSpaceDE w:val="0"/>
        <w:autoSpaceDN w:val="0"/>
        <w:adjustRightInd w:val="0"/>
        <w:spacing w:after="0" w:line="360" w:lineRule="auto"/>
        <w:rPr>
          <w:rFonts w:ascii="Times New Roman" w:hAnsi="Times New Roman" w:cs="Times New Roman"/>
          <w:sz w:val="24"/>
          <w:szCs w:val="24"/>
        </w:rPr>
      </w:pPr>
      <w:r w:rsidRPr="0068735C">
        <w:rPr>
          <w:rFonts w:ascii="Times New Roman" w:hAnsi="Times New Roman" w:cs="Times New Roman"/>
          <w:sz w:val="24"/>
          <w:szCs w:val="24"/>
        </w:rPr>
        <w:t>Ils comportent :</w:t>
      </w:r>
    </w:p>
    <w:p w:rsidR="00E56FA7" w:rsidRPr="0068735C" w:rsidRDefault="00E56FA7" w:rsidP="0039428F">
      <w:pPr>
        <w:autoSpaceDE w:val="0"/>
        <w:autoSpaceDN w:val="0"/>
        <w:adjustRightInd w:val="0"/>
        <w:spacing w:after="0" w:line="360" w:lineRule="auto"/>
        <w:rPr>
          <w:rFonts w:ascii="Times New Roman" w:hAnsi="Times New Roman" w:cs="Times New Roman"/>
          <w:sz w:val="24"/>
          <w:szCs w:val="24"/>
        </w:rPr>
      </w:pPr>
    </w:p>
    <w:p w:rsidR="00A963B6" w:rsidRPr="0068735C" w:rsidRDefault="00A963B6" w:rsidP="0039428F">
      <w:pPr>
        <w:pStyle w:val="Titre3"/>
        <w:numPr>
          <w:ilvl w:val="0"/>
          <w:numId w:val="8"/>
        </w:numPr>
        <w:spacing w:before="0" w:line="360" w:lineRule="auto"/>
        <w:rPr>
          <w:rFonts w:ascii="Times New Roman" w:hAnsi="Times New Roman" w:cs="Times New Roman"/>
          <w:color w:val="auto"/>
          <w:sz w:val="24"/>
          <w:szCs w:val="24"/>
        </w:rPr>
      </w:pPr>
      <w:bookmarkStart w:id="8" w:name="_Toc326838019"/>
      <w:r w:rsidRPr="0068735C">
        <w:rPr>
          <w:rFonts w:ascii="Times New Roman" w:hAnsi="Times New Roman" w:cs="Times New Roman"/>
          <w:color w:val="auto"/>
          <w:sz w:val="24"/>
          <w:szCs w:val="24"/>
        </w:rPr>
        <w:t>La teneur en eau </w:t>
      </w:r>
      <w:r w:rsidRPr="0068735C">
        <w:rPr>
          <w:rFonts w:ascii="Times New Roman" w:hAnsi="Times New Roman" w:cs="Times New Roman"/>
          <w:bCs w:val="0"/>
          <w:color w:val="auto"/>
          <w:sz w:val="24"/>
          <w:szCs w:val="24"/>
        </w:rPr>
        <w:t>(NF P 94-050)</w:t>
      </w:r>
      <w:r w:rsidRPr="0068735C">
        <w:rPr>
          <w:rFonts w:ascii="Times New Roman" w:hAnsi="Times New Roman" w:cs="Times New Roman"/>
          <w:b w:val="0"/>
          <w:bCs w:val="0"/>
          <w:color w:val="auto"/>
          <w:sz w:val="24"/>
          <w:szCs w:val="24"/>
        </w:rPr>
        <w:t> </w:t>
      </w:r>
      <w:r w:rsidRPr="0068735C">
        <w:rPr>
          <w:rFonts w:ascii="Times New Roman" w:hAnsi="Times New Roman" w:cs="Times New Roman"/>
          <w:color w:val="auto"/>
          <w:sz w:val="24"/>
          <w:szCs w:val="24"/>
        </w:rPr>
        <w:t>:</w:t>
      </w:r>
      <w:bookmarkEnd w:id="8"/>
    </w:p>
    <w:p w:rsidR="00E56FA7" w:rsidRPr="0068735C" w:rsidRDefault="00A963B6" w:rsidP="0068735C">
      <w:pPr>
        <w:spacing w:line="360" w:lineRule="auto"/>
        <w:ind w:firstLine="567"/>
        <w:jc w:val="both"/>
        <w:rPr>
          <w:rFonts w:ascii="Times New Roman" w:hAnsi="Times New Roman" w:cs="Times New Roman"/>
          <w:sz w:val="24"/>
          <w:szCs w:val="24"/>
        </w:rPr>
      </w:pPr>
      <w:r w:rsidRPr="0068735C">
        <w:rPr>
          <w:rFonts w:ascii="Times New Roman" w:hAnsi="Times New Roman" w:cs="Times New Roman"/>
          <w:sz w:val="24"/>
          <w:szCs w:val="24"/>
        </w:rPr>
        <w:t>C’est le rapport de la masse de  l’eau contenue dans le sol  (</w:t>
      </w:r>
      <w:proofErr w:type="spellStart"/>
      <w:r w:rsidRPr="0068735C">
        <w:rPr>
          <w:rFonts w:ascii="Times New Roman" w:hAnsi="Times New Roman" w:cs="Times New Roman"/>
          <w:sz w:val="24"/>
          <w:szCs w:val="24"/>
        </w:rPr>
        <w:t>m</w:t>
      </w:r>
      <w:r w:rsidRPr="0068735C">
        <w:rPr>
          <w:rFonts w:ascii="Times New Roman" w:hAnsi="Times New Roman" w:cs="Times New Roman"/>
          <w:sz w:val="24"/>
          <w:szCs w:val="24"/>
          <w:vertAlign w:val="subscript"/>
        </w:rPr>
        <w:t>w</w:t>
      </w:r>
      <w:proofErr w:type="spellEnd"/>
      <w:r w:rsidRPr="0068735C">
        <w:rPr>
          <w:rFonts w:ascii="Times New Roman" w:hAnsi="Times New Roman" w:cs="Times New Roman"/>
          <w:sz w:val="24"/>
          <w:szCs w:val="24"/>
        </w:rPr>
        <w:t>) sur la masse des grains solides (m</w:t>
      </w:r>
      <w:r w:rsidRPr="0068735C">
        <w:rPr>
          <w:rFonts w:ascii="Times New Roman" w:hAnsi="Times New Roman" w:cs="Times New Roman"/>
          <w:sz w:val="24"/>
          <w:szCs w:val="24"/>
          <w:vertAlign w:val="subscript"/>
        </w:rPr>
        <w:t>d</w:t>
      </w:r>
      <w:r w:rsidRPr="0068735C">
        <w:rPr>
          <w:rFonts w:ascii="Times New Roman" w:hAnsi="Times New Roman" w:cs="Times New Roman"/>
          <w:sz w:val="24"/>
          <w:szCs w:val="24"/>
        </w:rPr>
        <w:t>) qui le constituent exprimé en pourcentage :</w:t>
      </w:r>
      <m:oMath>
        <m:r>
          <m:rPr>
            <m:sty m:val="p"/>
          </m:rPr>
          <w:rPr>
            <w:rStyle w:val="lang-grc"/>
            <w:rFonts w:ascii="Cambria Math" w:hAnsi="Cambria Math" w:cs="Times New Roman"/>
            <w:sz w:val="24"/>
            <w:szCs w:val="24"/>
          </w:rPr>
          <m:t>w</m:t>
        </m:r>
        <m:d>
          <m:dPr>
            <m:ctrlPr>
              <w:rPr>
                <w:rStyle w:val="lang-grc"/>
                <w:rFonts w:ascii="Cambria Math" w:hAnsi="Cambria Math" w:cs="Times New Roman"/>
                <w:sz w:val="24"/>
                <w:szCs w:val="24"/>
              </w:rPr>
            </m:ctrlPr>
          </m:dPr>
          <m:e>
            <m:r>
              <m:rPr>
                <m:sty m:val="p"/>
              </m:rPr>
              <w:rPr>
                <w:rStyle w:val="lang-grc"/>
                <w:rFonts w:ascii="Cambria Math" w:hAnsi="Cambria Math" w:cs="Times New Roman"/>
                <w:sz w:val="24"/>
                <w:szCs w:val="24"/>
              </w:rPr>
              <m:t>%</m:t>
            </m:r>
          </m:e>
        </m:d>
        <m:r>
          <m:rPr>
            <m:sty m:val="p"/>
          </m:rPr>
          <w:rPr>
            <w:rStyle w:val="lang-grc"/>
            <w:rFonts w:ascii="Cambria Math" w:hAnsi="Times New Roman" w:cs="Times New Roman"/>
            <w:sz w:val="24"/>
            <w:szCs w:val="24"/>
          </w:rPr>
          <m:t>=</m:t>
        </m:r>
        <m:f>
          <m:fPr>
            <m:ctrlPr>
              <w:rPr>
                <w:rStyle w:val="lang-grc"/>
                <w:rFonts w:ascii="Cambria Math" w:hAnsi="Times New Roman" w:cs="Times New Roman"/>
                <w:sz w:val="24"/>
                <w:szCs w:val="24"/>
              </w:rPr>
            </m:ctrlPr>
          </m:fPr>
          <m:num>
            <m:sSub>
              <m:sSubPr>
                <m:ctrlPr>
                  <w:rPr>
                    <w:rStyle w:val="lang-grc"/>
                    <w:rFonts w:ascii="Cambria Math" w:hAnsi="Times New Roman" w:cs="Times New Roman"/>
                    <w:sz w:val="24"/>
                    <w:szCs w:val="24"/>
                  </w:rPr>
                </m:ctrlPr>
              </m:sSubPr>
              <m:e>
                <m:r>
                  <m:rPr>
                    <m:sty m:val="p"/>
                  </m:rPr>
                  <w:rPr>
                    <w:rStyle w:val="lang-grc"/>
                    <w:rFonts w:ascii="Cambria Math" w:hAnsi="Times New Roman" w:cs="Times New Roman"/>
                    <w:sz w:val="24"/>
                    <w:szCs w:val="24"/>
                  </w:rPr>
                  <m:t>m</m:t>
                </m:r>
              </m:e>
              <m:sub>
                <m:r>
                  <m:rPr>
                    <m:sty m:val="p"/>
                  </m:rPr>
                  <w:rPr>
                    <w:rStyle w:val="lang-grc"/>
                    <w:rFonts w:ascii="Cambria Math" w:hAnsi="Times New Roman" w:cs="Times New Roman"/>
                    <w:sz w:val="24"/>
                    <w:szCs w:val="24"/>
                  </w:rPr>
                  <m:t>w</m:t>
                </m:r>
              </m:sub>
            </m:sSub>
          </m:num>
          <m:den>
            <m:sSub>
              <m:sSubPr>
                <m:ctrlPr>
                  <w:rPr>
                    <w:rStyle w:val="lang-grc"/>
                    <w:rFonts w:ascii="Cambria Math" w:hAnsi="Times New Roman" w:cs="Times New Roman"/>
                    <w:sz w:val="24"/>
                    <w:szCs w:val="24"/>
                  </w:rPr>
                </m:ctrlPr>
              </m:sSubPr>
              <m:e>
                <m:r>
                  <m:rPr>
                    <m:sty m:val="p"/>
                  </m:rPr>
                  <w:rPr>
                    <w:rStyle w:val="lang-grc"/>
                    <w:rFonts w:ascii="Cambria Math" w:hAnsi="Times New Roman" w:cs="Times New Roman"/>
                    <w:sz w:val="24"/>
                    <w:szCs w:val="24"/>
                  </w:rPr>
                  <m:t>m</m:t>
                </m:r>
              </m:e>
              <m:sub>
                <m:r>
                  <m:rPr>
                    <m:sty m:val="p"/>
                  </m:rPr>
                  <w:rPr>
                    <w:rStyle w:val="lang-grc"/>
                    <w:rFonts w:ascii="Cambria Math" w:hAnsi="Times New Roman" w:cs="Times New Roman"/>
                    <w:sz w:val="24"/>
                    <w:szCs w:val="24"/>
                  </w:rPr>
                  <m:t>d</m:t>
                </m:r>
              </m:sub>
            </m:sSub>
          </m:den>
        </m:f>
        <m:r>
          <m:rPr>
            <m:sty m:val="p"/>
          </m:rPr>
          <w:rPr>
            <w:rStyle w:val="lang-grc"/>
            <w:rFonts w:ascii="Cambria Math" w:hAnsi="Cambria Math" w:cs="Times New Roman"/>
            <w:sz w:val="24"/>
            <w:szCs w:val="24"/>
          </w:rPr>
          <m:t>×</m:t>
        </m:r>
        <m:r>
          <m:rPr>
            <m:sty m:val="p"/>
          </m:rPr>
          <w:rPr>
            <w:rStyle w:val="lang-grc"/>
            <w:rFonts w:ascii="Cambria Math" w:hAnsi="Times New Roman" w:cs="Times New Roman"/>
            <w:sz w:val="24"/>
            <w:szCs w:val="24"/>
          </w:rPr>
          <m:t>100</m:t>
        </m:r>
      </m:oMath>
    </w:p>
    <w:p w:rsidR="00A963B6" w:rsidRPr="0068735C" w:rsidRDefault="00A963B6" w:rsidP="00E56FA7">
      <w:pPr>
        <w:spacing w:line="360" w:lineRule="auto"/>
        <w:ind w:firstLine="567"/>
        <w:jc w:val="both"/>
        <w:rPr>
          <w:rFonts w:ascii="Times New Roman" w:hAnsi="Times New Roman" w:cs="Times New Roman"/>
          <w:sz w:val="24"/>
          <w:szCs w:val="24"/>
        </w:rPr>
      </w:pPr>
      <w:r w:rsidRPr="0068735C">
        <w:rPr>
          <w:rFonts w:ascii="Times New Roman" w:hAnsi="Times New Roman" w:cs="Times New Roman"/>
          <w:sz w:val="24"/>
          <w:szCs w:val="24"/>
        </w:rPr>
        <w:t>L’essai est effectué sur échantillon intact ramené directement du site</w:t>
      </w:r>
      <w:r w:rsidR="00E56FA7" w:rsidRPr="0068735C">
        <w:rPr>
          <w:rFonts w:ascii="Times New Roman" w:hAnsi="Times New Roman" w:cs="Times New Roman"/>
          <w:sz w:val="24"/>
          <w:szCs w:val="24"/>
        </w:rPr>
        <w:t>.</w:t>
      </w:r>
    </w:p>
    <w:p w:rsidR="00A963B6" w:rsidRPr="0068735C" w:rsidRDefault="00A963B6" w:rsidP="00E56FA7">
      <w:pPr>
        <w:pStyle w:val="Titre3"/>
        <w:numPr>
          <w:ilvl w:val="0"/>
          <w:numId w:val="8"/>
        </w:numPr>
        <w:spacing w:before="0" w:line="360" w:lineRule="auto"/>
        <w:rPr>
          <w:rFonts w:ascii="Times New Roman" w:hAnsi="Times New Roman" w:cs="Times New Roman"/>
          <w:color w:val="auto"/>
          <w:sz w:val="24"/>
          <w:szCs w:val="24"/>
        </w:rPr>
      </w:pPr>
      <w:bookmarkStart w:id="9" w:name="_Toc326838020"/>
      <w:r w:rsidRPr="0068735C">
        <w:rPr>
          <w:rFonts w:ascii="Times New Roman" w:hAnsi="Times New Roman" w:cs="Times New Roman"/>
          <w:color w:val="auto"/>
          <w:sz w:val="24"/>
          <w:szCs w:val="24"/>
        </w:rPr>
        <w:t>Le</w:t>
      </w:r>
      <w:r w:rsidR="00E56FA7" w:rsidRPr="0068735C">
        <w:rPr>
          <w:rFonts w:ascii="Times New Roman" w:hAnsi="Times New Roman" w:cs="Times New Roman"/>
          <w:color w:val="auto"/>
          <w:sz w:val="24"/>
          <w:szCs w:val="24"/>
        </w:rPr>
        <w:t>s</w:t>
      </w:r>
      <w:r w:rsidRPr="0068735C">
        <w:rPr>
          <w:rFonts w:ascii="Times New Roman" w:hAnsi="Times New Roman" w:cs="Times New Roman"/>
          <w:color w:val="auto"/>
          <w:sz w:val="24"/>
          <w:szCs w:val="24"/>
        </w:rPr>
        <w:t xml:space="preserve"> poids volumique</w:t>
      </w:r>
      <w:r w:rsidR="00E56FA7" w:rsidRPr="0068735C">
        <w:rPr>
          <w:rFonts w:ascii="Times New Roman" w:hAnsi="Times New Roman" w:cs="Times New Roman"/>
          <w:color w:val="auto"/>
          <w:sz w:val="24"/>
          <w:szCs w:val="24"/>
        </w:rPr>
        <w:t>s</w:t>
      </w:r>
      <w:r w:rsidRPr="0068735C">
        <w:rPr>
          <w:rFonts w:ascii="Times New Roman" w:hAnsi="Times New Roman" w:cs="Times New Roman"/>
          <w:color w:val="auto"/>
          <w:sz w:val="24"/>
          <w:szCs w:val="24"/>
        </w:rPr>
        <w:t xml:space="preserve"> sec et humide </w:t>
      </w:r>
      <w:r w:rsidRPr="0068735C">
        <w:rPr>
          <w:rFonts w:ascii="Times New Roman" w:hAnsi="Times New Roman" w:cs="Times New Roman"/>
          <w:bCs w:val="0"/>
          <w:color w:val="auto"/>
          <w:sz w:val="24"/>
          <w:szCs w:val="24"/>
        </w:rPr>
        <w:t>(NF P 94-053)</w:t>
      </w:r>
      <w:r w:rsidRPr="0068735C">
        <w:rPr>
          <w:rFonts w:ascii="Times New Roman" w:hAnsi="Times New Roman" w:cs="Times New Roman"/>
          <w:color w:val="auto"/>
          <w:sz w:val="24"/>
          <w:szCs w:val="24"/>
        </w:rPr>
        <w:t>:</w:t>
      </w:r>
      <w:bookmarkEnd w:id="9"/>
    </w:p>
    <w:p w:rsidR="00A963B6" w:rsidRPr="0068735C" w:rsidRDefault="00A963B6" w:rsidP="00D26D7C">
      <w:pPr>
        <w:spacing w:line="360" w:lineRule="auto"/>
        <w:ind w:firstLine="567"/>
        <w:jc w:val="both"/>
        <w:rPr>
          <w:rFonts w:asciiTheme="majorBidi" w:hAnsiTheme="majorBidi" w:cstheme="majorBidi"/>
          <w:b/>
          <w:bCs/>
          <w:sz w:val="24"/>
          <w:szCs w:val="24"/>
        </w:rPr>
      </w:pPr>
      <w:r w:rsidRPr="0068735C">
        <w:rPr>
          <w:rFonts w:asciiTheme="majorBidi" w:hAnsiTheme="majorBidi" w:cstheme="majorBidi"/>
          <w:sz w:val="24"/>
          <w:szCs w:val="24"/>
        </w:rPr>
        <w:t>La masse volumique d’un sol (γ) est le quotient de la masse (m) du sol par le volume (V) qu’il  occupe (y compris les fluides interstitiels : air + eau).Dans ce cas, l'utilisation d'un carottier a été préconisée, qui consistait au respect les étapes de la norme.</w:t>
      </w:r>
    </w:p>
    <w:p w:rsidR="00A963B6" w:rsidRPr="0068735C" w:rsidRDefault="00A963B6" w:rsidP="00D26D7C">
      <w:pPr>
        <w:spacing w:line="360" w:lineRule="auto"/>
        <w:ind w:firstLine="567"/>
        <w:jc w:val="both"/>
        <w:rPr>
          <w:rFonts w:asciiTheme="majorBidi" w:hAnsiTheme="majorBidi" w:cstheme="majorBidi"/>
          <w:sz w:val="24"/>
          <w:szCs w:val="24"/>
        </w:rPr>
      </w:pPr>
      <w:r w:rsidRPr="0068735C">
        <w:rPr>
          <w:rFonts w:asciiTheme="majorBidi" w:hAnsiTheme="majorBidi" w:cstheme="majorBidi"/>
          <w:sz w:val="24"/>
          <w:szCs w:val="24"/>
        </w:rPr>
        <w:t>La masse volumique d’un sol (</w:t>
      </w:r>
      <w:proofErr w:type="spellStart"/>
      <w:r w:rsidRPr="0068735C">
        <w:rPr>
          <w:rFonts w:asciiTheme="majorBidi" w:hAnsiTheme="majorBidi" w:cstheme="majorBidi"/>
          <w:sz w:val="24"/>
          <w:szCs w:val="24"/>
        </w:rPr>
        <w:t>γ</w:t>
      </w:r>
      <w:r w:rsidRPr="0068735C">
        <w:rPr>
          <w:rFonts w:asciiTheme="majorBidi" w:hAnsiTheme="majorBidi" w:cstheme="majorBidi"/>
          <w:sz w:val="24"/>
          <w:szCs w:val="24"/>
          <w:vertAlign w:val="subscript"/>
        </w:rPr>
        <w:t>d</w:t>
      </w:r>
      <w:proofErr w:type="spellEnd"/>
      <w:r w:rsidRPr="0068735C">
        <w:rPr>
          <w:rFonts w:asciiTheme="majorBidi" w:hAnsiTheme="majorBidi" w:cstheme="majorBidi"/>
          <w:sz w:val="24"/>
          <w:szCs w:val="24"/>
        </w:rPr>
        <w:t>) est le quotient de la masse des grains solides (m</w:t>
      </w:r>
      <w:r w:rsidRPr="0068735C">
        <w:rPr>
          <w:rFonts w:asciiTheme="majorBidi" w:hAnsiTheme="majorBidi" w:cstheme="majorBidi"/>
          <w:sz w:val="24"/>
          <w:szCs w:val="24"/>
          <w:vertAlign w:val="subscript"/>
        </w:rPr>
        <w:t>s</w:t>
      </w:r>
      <w:r w:rsidRPr="0068735C">
        <w:rPr>
          <w:rFonts w:asciiTheme="majorBidi" w:hAnsiTheme="majorBidi" w:cstheme="majorBidi"/>
          <w:sz w:val="24"/>
          <w:szCs w:val="24"/>
        </w:rPr>
        <w:t>) du sol par le volume (v) qu’il occupe. La masse volumique sèche peut être obtenue comme le rapport du poids volumique humide par l’unité plus la teneur en eau (</w:t>
      </w:r>
      <w:proofErr w:type="spellStart"/>
      <w:r w:rsidRPr="0068735C">
        <w:rPr>
          <w:rFonts w:asciiTheme="majorBidi" w:hAnsiTheme="majorBidi" w:cstheme="majorBidi"/>
          <w:sz w:val="24"/>
          <w:szCs w:val="24"/>
        </w:rPr>
        <w:t>γ</w:t>
      </w:r>
      <w:r w:rsidRPr="0068735C">
        <w:rPr>
          <w:rFonts w:asciiTheme="majorBidi" w:hAnsiTheme="majorBidi" w:cstheme="majorBidi"/>
          <w:sz w:val="24"/>
          <w:szCs w:val="24"/>
          <w:vertAlign w:val="subscript"/>
        </w:rPr>
        <w:t>d</w:t>
      </w:r>
      <w:proofErr w:type="spellEnd"/>
      <w:r w:rsidRPr="0068735C">
        <w:rPr>
          <w:rFonts w:asciiTheme="majorBidi" w:hAnsiTheme="majorBidi" w:cstheme="majorBidi"/>
          <w:sz w:val="24"/>
          <w:szCs w:val="24"/>
        </w:rPr>
        <w:t>=</w:t>
      </w:r>
      <w:proofErr w:type="spellStart"/>
      <w:r w:rsidR="001F14EF" w:rsidRPr="0068735C">
        <w:rPr>
          <w:rFonts w:asciiTheme="majorBidi" w:hAnsiTheme="majorBidi" w:cstheme="majorBidi"/>
          <w:sz w:val="24"/>
          <w:szCs w:val="24"/>
        </w:rPr>
        <w:fldChar w:fldCharType="begin"/>
      </w:r>
      <w:r w:rsidRPr="0068735C">
        <w:rPr>
          <w:rFonts w:asciiTheme="majorBidi" w:hAnsiTheme="majorBidi" w:cstheme="majorBidi"/>
          <w:sz w:val="24"/>
          <w:szCs w:val="24"/>
        </w:rPr>
        <w:instrText xml:space="preserve"> QUOTE </w:instrText>
      </w:r>
      <w:r w:rsidRPr="0068735C">
        <w:rPr>
          <w:rFonts w:asciiTheme="majorBidi" w:hAnsiTheme="majorBidi" w:cstheme="majorBidi"/>
          <w:noProof/>
          <w:sz w:val="24"/>
          <w:szCs w:val="24"/>
          <w:lang w:eastAsia="fr-FR"/>
        </w:rPr>
        <w:drawing>
          <wp:inline distT="0" distB="0" distL="0" distR="0">
            <wp:extent cx="321945" cy="313055"/>
            <wp:effectExtent l="25400" t="0" r="8255" b="0"/>
            <wp:docPr id="73" name="Imag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321945" cy="313055"/>
                    </a:xfrm>
                    <a:prstGeom prst="rect">
                      <a:avLst/>
                    </a:prstGeom>
                    <a:noFill/>
                    <a:ln w="9525">
                      <a:noFill/>
                      <a:miter lim="800000"/>
                      <a:headEnd/>
                      <a:tailEnd/>
                    </a:ln>
                  </pic:spPr>
                </pic:pic>
              </a:graphicData>
            </a:graphic>
          </wp:inline>
        </w:drawing>
      </w:r>
      <w:r w:rsidR="001F14EF" w:rsidRPr="0068735C">
        <w:rPr>
          <w:rFonts w:asciiTheme="majorBidi" w:hAnsiTheme="majorBidi" w:cstheme="majorBidi"/>
          <w:sz w:val="24"/>
          <w:szCs w:val="24"/>
        </w:rPr>
        <w:fldChar w:fldCharType="end"/>
      </w:r>
      <w:r w:rsidRPr="0068735C">
        <w:rPr>
          <w:rFonts w:asciiTheme="majorBidi" w:hAnsiTheme="majorBidi" w:cstheme="majorBidi"/>
          <w:sz w:val="24"/>
          <w:szCs w:val="24"/>
        </w:rPr>
        <w:t>γ</w:t>
      </w:r>
      <w:r w:rsidRPr="0068735C">
        <w:rPr>
          <w:rFonts w:asciiTheme="majorBidi" w:hAnsiTheme="majorBidi" w:cstheme="majorBidi"/>
          <w:sz w:val="24"/>
          <w:szCs w:val="24"/>
          <w:vertAlign w:val="subscript"/>
        </w:rPr>
        <w:t>h</w:t>
      </w:r>
      <w:proofErr w:type="spellEnd"/>
      <w:r w:rsidRPr="0068735C">
        <w:rPr>
          <w:rFonts w:asciiTheme="majorBidi" w:hAnsiTheme="majorBidi" w:cstheme="majorBidi"/>
          <w:sz w:val="24"/>
          <w:szCs w:val="24"/>
        </w:rPr>
        <w:t>/1+</w:t>
      </w:r>
      <w:r w:rsidR="0068735C" w:rsidRPr="0068735C">
        <w:rPr>
          <w:rStyle w:val="lang-grc"/>
        </w:rPr>
        <w:t>w</w:t>
      </w:r>
      <w:r w:rsidRPr="0068735C">
        <w:rPr>
          <w:rFonts w:asciiTheme="majorBidi" w:hAnsiTheme="majorBidi" w:cstheme="majorBidi"/>
          <w:sz w:val="24"/>
          <w:szCs w:val="24"/>
        </w:rPr>
        <w:t>).</w:t>
      </w:r>
    </w:p>
    <w:p w:rsidR="00A963B6" w:rsidRPr="0068735C" w:rsidRDefault="00A963B6" w:rsidP="0039428F">
      <w:pPr>
        <w:pStyle w:val="Titre2"/>
        <w:spacing w:before="0" w:line="360" w:lineRule="auto"/>
        <w:rPr>
          <w:rFonts w:ascii="Times New Roman" w:hAnsi="Times New Roman" w:cs="Times New Roman"/>
          <w:color w:val="auto"/>
          <w:sz w:val="24"/>
          <w:szCs w:val="24"/>
        </w:rPr>
      </w:pPr>
      <w:bookmarkStart w:id="10" w:name="_Toc326838021"/>
      <w:r w:rsidRPr="0068735C">
        <w:rPr>
          <w:color w:val="auto"/>
        </w:rPr>
        <w:t xml:space="preserve">II.2.1.4 </w:t>
      </w:r>
      <w:r w:rsidRPr="0068735C">
        <w:rPr>
          <w:rFonts w:ascii="Times New Roman" w:hAnsi="Times New Roman" w:cs="Times New Roman"/>
          <w:color w:val="auto"/>
          <w:sz w:val="24"/>
          <w:szCs w:val="24"/>
        </w:rPr>
        <w:t>Analyse granulométrique :</w:t>
      </w:r>
      <w:bookmarkEnd w:id="10"/>
    </w:p>
    <w:p w:rsidR="00A963B6" w:rsidRPr="0068735C" w:rsidRDefault="00A963B6" w:rsidP="0039428F">
      <w:pPr>
        <w:pStyle w:val="Titre3"/>
        <w:numPr>
          <w:ilvl w:val="0"/>
          <w:numId w:val="7"/>
        </w:numPr>
        <w:spacing w:before="0" w:line="360" w:lineRule="auto"/>
        <w:rPr>
          <w:rFonts w:ascii="Times New Roman" w:hAnsi="Times New Roman" w:cs="Times New Roman"/>
          <w:color w:val="auto"/>
          <w:sz w:val="24"/>
          <w:szCs w:val="24"/>
        </w:rPr>
      </w:pPr>
      <w:bookmarkStart w:id="11" w:name="_Toc326838022"/>
      <w:r w:rsidRPr="0068735C">
        <w:rPr>
          <w:rFonts w:ascii="Times New Roman" w:hAnsi="Times New Roman" w:cs="Times New Roman"/>
          <w:color w:val="auto"/>
          <w:sz w:val="24"/>
          <w:szCs w:val="24"/>
        </w:rPr>
        <w:t>Par tamisage (NF P 94-056) :</w:t>
      </w:r>
      <w:bookmarkEnd w:id="11"/>
    </w:p>
    <w:p w:rsidR="00A963B6" w:rsidRPr="0068735C" w:rsidRDefault="00A963B6" w:rsidP="00D26D7C">
      <w:pPr>
        <w:autoSpaceDE w:val="0"/>
        <w:autoSpaceDN w:val="0"/>
        <w:adjustRightInd w:val="0"/>
        <w:spacing w:after="0" w:line="360" w:lineRule="auto"/>
        <w:ind w:firstLine="567"/>
        <w:jc w:val="both"/>
        <w:rPr>
          <w:rFonts w:asciiTheme="majorBidi" w:hAnsiTheme="majorBidi" w:cstheme="majorBidi"/>
          <w:sz w:val="24"/>
          <w:szCs w:val="24"/>
        </w:rPr>
      </w:pPr>
      <w:r w:rsidRPr="0068735C">
        <w:rPr>
          <w:rFonts w:asciiTheme="majorBidi" w:hAnsiTheme="majorBidi" w:cstheme="majorBidi"/>
          <w:sz w:val="24"/>
          <w:szCs w:val="24"/>
        </w:rPr>
        <w:t>Elle a pour but de déterminer la distribution des particules qui forment le squelette des sol</w:t>
      </w:r>
      <w:r w:rsidR="001475A0" w:rsidRPr="0068735C">
        <w:rPr>
          <w:rFonts w:asciiTheme="majorBidi" w:hAnsiTheme="majorBidi" w:cstheme="majorBidi"/>
          <w:sz w:val="24"/>
          <w:szCs w:val="24"/>
        </w:rPr>
        <w:t>s en vue de leur classification.</w:t>
      </w:r>
    </w:p>
    <w:p w:rsidR="00A963B6" w:rsidRPr="0068735C" w:rsidRDefault="00A963B6" w:rsidP="00D26D7C">
      <w:pPr>
        <w:autoSpaceDE w:val="0"/>
        <w:autoSpaceDN w:val="0"/>
        <w:adjustRightInd w:val="0"/>
        <w:spacing w:after="0" w:line="360" w:lineRule="auto"/>
        <w:ind w:firstLine="567"/>
        <w:jc w:val="both"/>
        <w:rPr>
          <w:rFonts w:asciiTheme="majorBidi" w:hAnsiTheme="majorBidi" w:cstheme="majorBidi"/>
          <w:sz w:val="24"/>
          <w:szCs w:val="24"/>
        </w:rPr>
      </w:pPr>
      <w:r w:rsidRPr="0068735C">
        <w:rPr>
          <w:rFonts w:asciiTheme="majorBidi" w:hAnsiTheme="majorBidi" w:cstheme="majorBidi"/>
          <w:sz w:val="24"/>
          <w:szCs w:val="24"/>
        </w:rPr>
        <w:t xml:space="preserve">L’essai consiste à séparer les grains agglomérés d’une masse connue de matériau </w:t>
      </w:r>
      <w:r w:rsidR="001475A0" w:rsidRPr="0068735C">
        <w:rPr>
          <w:rFonts w:asciiTheme="majorBidi" w:hAnsiTheme="majorBidi" w:cstheme="majorBidi"/>
          <w:sz w:val="24"/>
          <w:szCs w:val="24"/>
        </w:rPr>
        <w:t xml:space="preserve">par </w:t>
      </w:r>
      <w:r w:rsidRPr="0068735C">
        <w:rPr>
          <w:rFonts w:asciiTheme="majorBidi" w:hAnsiTheme="majorBidi" w:cstheme="majorBidi"/>
          <w:sz w:val="24"/>
          <w:szCs w:val="24"/>
        </w:rPr>
        <w:t xml:space="preserve">brassage sous l’eau, à </w:t>
      </w:r>
      <w:r w:rsidR="001475A0" w:rsidRPr="0068735C">
        <w:rPr>
          <w:rFonts w:asciiTheme="majorBidi" w:hAnsiTheme="majorBidi" w:cstheme="majorBidi"/>
          <w:sz w:val="24"/>
          <w:szCs w:val="24"/>
        </w:rPr>
        <w:t xml:space="preserve">fractionner ce sol, </w:t>
      </w:r>
      <w:r w:rsidRPr="0068735C">
        <w:rPr>
          <w:rFonts w:asciiTheme="majorBidi" w:hAnsiTheme="majorBidi" w:cstheme="majorBidi"/>
          <w:sz w:val="24"/>
          <w:szCs w:val="24"/>
        </w:rPr>
        <w:t xml:space="preserve">une fois </w:t>
      </w:r>
      <w:r w:rsidR="001475A0" w:rsidRPr="0068735C">
        <w:rPr>
          <w:rFonts w:asciiTheme="majorBidi" w:hAnsiTheme="majorBidi" w:cstheme="majorBidi"/>
          <w:sz w:val="24"/>
          <w:szCs w:val="24"/>
        </w:rPr>
        <w:t xml:space="preserve">séché, au moyen d’une série des tamis et à </w:t>
      </w:r>
      <w:r w:rsidR="001475A0" w:rsidRPr="0068735C">
        <w:rPr>
          <w:rFonts w:asciiTheme="majorBidi" w:hAnsiTheme="majorBidi" w:cstheme="majorBidi"/>
          <w:sz w:val="24"/>
          <w:szCs w:val="24"/>
        </w:rPr>
        <w:lastRenderedPageBreak/>
        <w:t xml:space="preserve">peser </w:t>
      </w:r>
      <w:r w:rsidRPr="0068735C">
        <w:rPr>
          <w:rFonts w:asciiTheme="majorBidi" w:hAnsiTheme="majorBidi" w:cstheme="majorBidi"/>
          <w:sz w:val="24"/>
          <w:szCs w:val="24"/>
        </w:rPr>
        <w:t>successivement le refus cumulé sur chaque tamis.</w:t>
      </w:r>
      <w:r w:rsidR="00D26D7C">
        <w:rPr>
          <w:rFonts w:asciiTheme="majorBidi" w:hAnsiTheme="majorBidi" w:cstheme="majorBidi"/>
          <w:sz w:val="24"/>
          <w:szCs w:val="24"/>
        </w:rPr>
        <w:t xml:space="preserve"> </w:t>
      </w:r>
      <w:r w:rsidRPr="0068735C">
        <w:rPr>
          <w:rFonts w:asciiTheme="majorBidi" w:hAnsiTheme="majorBidi" w:cstheme="majorBidi"/>
          <w:sz w:val="24"/>
          <w:szCs w:val="24"/>
        </w:rPr>
        <w:t>La masse de refus cumulé sur chaque tamis est rapportée à la masse totale sèche de l’échantillon soumis à l’analyse</w:t>
      </w:r>
      <w:r w:rsidR="001475A0" w:rsidRPr="0068735C">
        <w:rPr>
          <w:rFonts w:asciiTheme="majorBidi" w:hAnsiTheme="majorBidi" w:cstheme="majorBidi"/>
          <w:sz w:val="24"/>
          <w:szCs w:val="24"/>
        </w:rPr>
        <w:t xml:space="preserve"> (figure II.1)</w:t>
      </w:r>
      <w:r w:rsidRPr="0068735C">
        <w:rPr>
          <w:rFonts w:asciiTheme="majorBidi" w:hAnsiTheme="majorBidi" w:cstheme="majorBidi"/>
          <w:sz w:val="24"/>
          <w:szCs w:val="24"/>
        </w:rPr>
        <w:t>.</w:t>
      </w:r>
    </w:p>
    <w:p w:rsidR="00A963B6" w:rsidRPr="0068735C" w:rsidRDefault="00A963B6" w:rsidP="0039428F">
      <w:pPr>
        <w:pStyle w:val="Titre3"/>
        <w:numPr>
          <w:ilvl w:val="0"/>
          <w:numId w:val="7"/>
        </w:numPr>
        <w:spacing w:before="0" w:line="360" w:lineRule="auto"/>
        <w:rPr>
          <w:color w:val="auto"/>
        </w:rPr>
      </w:pPr>
      <w:bookmarkStart w:id="12" w:name="_Toc326838023"/>
      <w:r w:rsidRPr="0068735C">
        <w:rPr>
          <w:color w:val="auto"/>
        </w:rPr>
        <w:t>Par sédimentométrie (NF P 94-057) :</w:t>
      </w:r>
      <w:bookmarkEnd w:id="12"/>
    </w:p>
    <w:p w:rsidR="00A963B6" w:rsidRPr="0068735C" w:rsidRDefault="00A963B6" w:rsidP="00D26D7C">
      <w:pPr>
        <w:spacing w:line="360" w:lineRule="auto"/>
        <w:ind w:firstLine="567"/>
        <w:jc w:val="both"/>
        <w:rPr>
          <w:rFonts w:asciiTheme="majorBidi" w:hAnsiTheme="majorBidi" w:cstheme="majorBidi"/>
          <w:sz w:val="24"/>
          <w:szCs w:val="24"/>
        </w:rPr>
      </w:pPr>
      <w:r w:rsidRPr="0068735C">
        <w:rPr>
          <w:rFonts w:asciiTheme="majorBidi" w:hAnsiTheme="majorBidi" w:cstheme="majorBidi"/>
          <w:sz w:val="24"/>
          <w:szCs w:val="24"/>
        </w:rPr>
        <w:t>Les particules inférieures à 80 µm séparées du reste du sol par tamisage sont mises en suspension dans de l'eau additionnée d'une défloculation. Les particules sédimentent à différentes vitesses en relation avec leur taille. Au moyen d'un densimètre est mesurée l'évolution dans le temps de la masse volumique de la solution et de la profondeur d'immersion de l'appareil. La distribution pondérale de la taille des particules est calculée à partir de ces données</w:t>
      </w:r>
      <w:r w:rsidR="002571C4" w:rsidRPr="0068735C">
        <w:rPr>
          <w:rFonts w:asciiTheme="majorBidi" w:hAnsiTheme="majorBidi" w:cstheme="majorBidi"/>
          <w:sz w:val="24"/>
          <w:szCs w:val="24"/>
        </w:rPr>
        <w:t xml:space="preserve"> (figure II.1)</w:t>
      </w:r>
      <w:r w:rsidRPr="0068735C">
        <w:rPr>
          <w:rFonts w:asciiTheme="majorBidi" w:hAnsiTheme="majorBidi" w:cstheme="majorBidi"/>
          <w:sz w:val="24"/>
          <w:szCs w:val="24"/>
        </w:rPr>
        <w:t xml:space="preserve">. </w:t>
      </w:r>
    </w:p>
    <w:p w:rsidR="00A963B6" w:rsidRPr="0068735C" w:rsidRDefault="00A963B6" w:rsidP="0039428F">
      <w:pPr>
        <w:spacing w:line="360" w:lineRule="auto"/>
        <w:ind w:firstLine="567"/>
        <w:rPr>
          <w:rFonts w:asciiTheme="majorBidi" w:hAnsiTheme="majorBidi" w:cstheme="majorBidi"/>
          <w:sz w:val="24"/>
          <w:szCs w:val="24"/>
        </w:rPr>
      </w:pPr>
      <w:r w:rsidRPr="0068735C">
        <w:rPr>
          <w:rFonts w:asciiTheme="majorBidi" w:hAnsiTheme="majorBidi" w:cstheme="majorBidi"/>
          <w:noProof/>
          <w:sz w:val="24"/>
          <w:szCs w:val="24"/>
          <w:lang w:eastAsia="fr-FR"/>
        </w:rPr>
        <w:drawing>
          <wp:anchor distT="0" distB="0" distL="114300" distR="114300" simplePos="0" relativeHeight="251665408" behindDoc="0" locked="0" layoutInCell="1" allowOverlap="1">
            <wp:simplePos x="0" y="0"/>
            <wp:positionH relativeFrom="column">
              <wp:posOffset>831215</wp:posOffset>
            </wp:positionH>
            <wp:positionV relativeFrom="paragraph">
              <wp:posOffset>45085</wp:posOffset>
            </wp:positionV>
            <wp:extent cx="2007235" cy="2339975"/>
            <wp:effectExtent l="19050" t="0" r="0" b="0"/>
            <wp:wrapSquare wrapText="bothSides"/>
            <wp:docPr id="7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_0231.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7235" cy="2339975"/>
                    </a:xfrm>
                    <a:prstGeom prst="rect">
                      <a:avLst/>
                    </a:prstGeom>
                  </pic:spPr>
                </pic:pic>
              </a:graphicData>
            </a:graphic>
          </wp:anchor>
        </w:drawing>
      </w:r>
      <w:r w:rsidRPr="0068735C">
        <w:rPr>
          <w:rFonts w:asciiTheme="majorBidi" w:hAnsiTheme="majorBidi" w:cstheme="majorBidi"/>
          <w:noProof/>
          <w:sz w:val="24"/>
          <w:szCs w:val="24"/>
          <w:lang w:eastAsia="fr-FR"/>
        </w:rPr>
        <w:drawing>
          <wp:anchor distT="0" distB="0" distL="114300" distR="114300" simplePos="0" relativeHeight="251664384" behindDoc="0" locked="0" layoutInCell="1" allowOverlap="1">
            <wp:simplePos x="0" y="0"/>
            <wp:positionH relativeFrom="column">
              <wp:posOffset>3444875</wp:posOffset>
            </wp:positionH>
            <wp:positionV relativeFrom="paragraph">
              <wp:posOffset>65405</wp:posOffset>
            </wp:positionV>
            <wp:extent cx="1965325" cy="2319655"/>
            <wp:effectExtent l="19050" t="0" r="0" b="0"/>
            <wp:wrapSquare wrapText="bothSides"/>
            <wp:docPr id="2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_0125.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65325" cy="2319655"/>
                    </a:xfrm>
                    <a:prstGeom prst="rect">
                      <a:avLst/>
                    </a:prstGeom>
                  </pic:spPr>
                </pic:pic>
              </a:graphicData>
            </a:graphic>
          </wp:anchor>
        </w:drawing>
      </w:r>
    </w:p>
    <w:p w:rsidR="00A963B6" w:rsidRPr="0068735C" w:rsidRDefault="00A963B6" w:rsidP="0039428F">
      <w:pPr>
        <w:spacing w:line="360" w:lineRule="auto"/>
        <w:ind w:firstLine="567"/>
        <w:jc w:val="center"/>
        <w:rPr>
          <w:rFonts w:asciiTheme="majorBidi" w:hAnsiTheme="majorBidi" w:cstheme="majorBidi"/>
          <w:b/>
        </w:rPr>
      </w:pPr>
    </w:p>
    <w:p w:rsidR="00A963B6" w:rsidRPr="0068735C" w:rsidRDefault="00A963B6" w:rsidP="0039428F">
      <w:pPr>
        <w:spacing w:line="360" w:lineRule="auto"/>
        <w:ind w:firstLine="567"/>
        <w:jc w:val="center"/>
        <w:rPr>
          <w:rFonts w:asciiTheme="majorBidi" w:hAnsiTheme="majorBidi" w:cstheme="majorBidi"/>
          <w:b/>
        </w:rPr>
      </w:pPr>
    </w:p>
    <w:p w:rsidR="002571C4" w:rsidRPr="0068735C" w:rsidRDefault="00A963B6" w:rsidP="002571C4">
      <w:pPr>
        <w:ind w:firstLine="567"/>
        <w:jc w:val="center"/>
        <w:rPr>
          <w:rFonts w:ascii="Times New Roman" w:hAnsi="Times New Roman" w:cs="Times New Roman"/>
          <w:b/>
          <w:szCs w:val="24"/>
        </w:rPr>
      </w:pPr>
      <w:r w:rsidRPr="0068735C">
        <w:rPr>
          <w:rFonts w:asciiTheme="majorBidi" w:hAnsiTheme="majorBidi" w:cstheme="majorBidi"/>
          <w:b/>
          <w:szCs w:val="24"/>
        </w:rPr>
        <w:t>Figure II.1:</w:t>
      </w:r>
      <w:r w:rsidR="002B26EF" w:rsidRPr="0068735C">
        <w:rPr>
          <w:rFonts w:ascii="Times New Roman" w:hAnsi="Times New Roman" w:cs="Times New Roman"/>
          <w:b/>
          <w:szCs w:val="24"/>
        </w:rPr>
        <w:t>A</w:t>
      </w:r>
      <w:r w:rsidRPr="0068735C">
        <w:rPr>
          <w:rFonts w:ascii="Times New Roman" w:hAnsi="Times New Roman" w:cs="Times New Roman"/>
          <w:b/>
          <w:szCs w:val="24"/>
        </w:rPr>
        <w:t>ppareillage d’</w:t>
      </w:r>
      <w:r w:rsidR="00CD448E" w:rsidRPr="0068735C">
        <w:rPr>
          <w:rFonts w:ascii="Times New Roman" w:hAnsi="Times New Roman" w:cs="Times New Roman"/>
          <w:b/>
          <w:szCs w:val="24"/>
        </w:rPr>
        <w:t>a</w:t>
      </w:r>
      <w:r w:rsidRPr="0068735C">
        <w:rPr>
          <w:rFonts w:ascii="Times New Roman" w:hAnsi="Times New Roman" w:cs="Times New Roman"/>
          <w:b/>
          <w:szCs w:val="24"/>
        </w:rPr>
        <w:t xml:space="preserve">nalyse granulométrique </w:t>
      </w:r>
    </w:p>
    <w:p w:rsidR="00A963B6" w:rsidRPr="0068735C" w:rsidRDefault="0068735C" w:rsidP="002571C4">
      <w:pPr>
        <w:ind w:firstLine="567"/>
        <w:jc w:val="center"/>
        <w:rPr>
          <w:rFonts w:ascii="Times New Roman" w:hAnsi="Times New Roman" w:cs="Times New Roman"/>
          <w:b/>
          <w:szCs w:val="24"/>
        </w:rPr>
      </w:pPr>
      <w:r w:rsidRPr="0068735C">
        <w:rPr>
          <w:rFonts w:ascii="Times New Roman" w:hAnsi="Times New Roman" w:cs="Times New Roman"/>
          <w:b/>
          <w:szCs w:val="24"/>
        </w:rPr>
        <w:t>(</w:t>
      </w:r>
      <w:proofErr w:type="gramStart"/>
      <w:r w:rsidRPr="0068735C">
        <w:rPr>
          <w:rFonts w:ascii="Times New Roman" w:hAnsi="Times New Roman" w:cs="Times New Roman"/>
          <w:b/>
          <w:szCs w:val="24"/>
        </w:rPr>
        <w:t>tamisage</w:t>
      </w:r>
      <w:proofErr w:type="gramEnd"/>
      <w:r w:rsidR="00A963B6" w:rsidRPr="0068735C">
        <w:rPr>
          <w:rFonts w:ascii="Times New Roman" w:hAnsi="Times New Roman" w:cs="Times New Roman"/>
          <w:b/>
          <w:szCs w:val="24"/>
        </w:rPr>
        <w:t xml:space="preserve"> et sédimentométrie).</w:t>
      </w:r>
    </w:p>
    <w:p w:rsidR="002571C4" w:rsidRPr="0068735C" w:rsidRDefault="002571C4" w:rsidP="008C3F54">
      <w:pPr>
        <w:rPr>
          <w:rFonts w:asciiTheme="majorBidi" w:hAnsiTheme="majorBidi" w:cstheme="majorBidi"/>
          <w:b/>
          <w:sz w:val="24"/>
          <w:szCs w:val="24"/>
        </w:rPr>
      </w:pPr>
    </w:p>
    <w:p w:rsidR="00A963B6" w:rsidRPr="0068735C" w:rsidRDefault="00A963B6" w:rsidP="0039428F">
      <w:pPr>
        <w:pStyle w:val="Titre3"/>
        <w:spacing w:before="0" w:line="360" w:lineRule="auto"/>
        <w:rPr>
          <w:rFonts w:asciiTheme="majorBidi" w:hAnsiTheme="majorBidi"/>
          <w:color w:val="auto"/>
          <w:sz w:val="24"/>
          <w:szCs w:val="24"/>
        </w:rPr>
      </w:pPr>
      <w:bookmarkStart w:id="13" w:name="_Toc326838024"/>
      <w:r w:rsidRPr="0068735C">
        <w:rPr>
          <w:color w:val="auto"/>
        </w:rPr>
        <w:t xml:space="preserve">II.2.1.5 </w:t>
      </w:r>
      <w:r w:rsidRPr="0068735C">
        <w:rPr>
          <w:rFonts w:asciiTheme="majorBidi" w:hAnsiTheme="majorBidi"/>
          <w:color w:val="auto"/>
          <w:sz w:val="24"/>
          <w:szCs w:val="24"/>
        </w:rPr>
        <w:t>Les limites d’Atterberg </w:t>
      </w:r>
      <w:r w:rsidR="002571C4" w:rsidRPr="0068735C">
        <w:rPr>
          <w:rFonts w:asciiTheme="majorBidi" w:hAnsiTheme="majorBidi"/>
          <w:color w:val="auto"/>
          <w:sz w:val="24"/>
          <w:szCs w:val="24"/>
        </w:rPr>
        <w:t>(NF P 94-051)</w:t>
      </w:r>
      <w:r w:rsidRPr="0068735C">
        <w:rPr>
          <w:rFonts w:asciiTheme="majorBidi" w:hAnsiTheme="majorBidi"/>
          <w:color w:val="auto"/>
          <w:sz w:val="24"/>
          <w:szCs w:val="24"/>
        </w:rPr>
        <w:t>:</w:t>
      </w:r>
      <w:bookmarkEnd w:id="13"/>
    </w:p>
    <w:p w:rsidR="00A963B6" w:rsidRPr="0068735C" w:rsidRDefault="00A963B6" w:rsidP="0039428F">
      <w:pPr>
        <w:autoSpaceDE w:val="0"/>
        <w:autoSpaceDN w:val="0"/>
        <w:adjustRightInd w:val="0"/>
        <w:spacing w:line="360" w:lineRule="auto"/>
        <w:ind w:firstLine="720"/>
        <w:jc w:val="both"/>
        <w:rPr>
          <w:rFonts w:asciiTheme="majorBidi" w:hAnsiTheme="majorBidi" w:cstheme="majorBidi"/>
          <w:sz w:val="24"/>
          <w:szCs w:val="24"/>
        </w:rPr>
      </w:pPr>
      <w:r w:rsidRPr="0068735C">
        <w:rPr>
          <w:rFonts w:asciiTheme="majorBidi" w:hAnsiTheme="majorBidi" w:cstheme="majorBidi"/>
          <w:sz w:val="24"/>
          <w:szCs w:val="24"/>
        </w:rPr>
        <w:t>Les limites d’Atterberg sont des caractéristiques géotechniques conventionnelles d’un sol qui marquent les seuils entre :</w:t>
      </w:r>
    </w:p>
    <w:p w:rsidR="00A963B6" w:rsidRPr="0068735C" w:rsidRDefault="00A963B6" w:rsidP="0039428F">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68735C">
        <w:rPr>
          <w:rFonts w:asciiTheme="majorBidi" w:hAnsiTheme="majorBidi" w:cstheme="majorBidi"/>
          <w:sz w:val="24"/>
          <w:szCs w:val="24"/>
        </w:rPr>
        <w:t>le passage d’un sol de l’état liquide à l’état plastique : limite de liquidité (</w:t>
      </w:r>
      <w:proofErr w:type="spellStart"/>
      <w:r w:rsidRPr="0068735C">
        <w:rPr>
          <w:rFonts w:asciiTheme="majorBidi" w:hAnsiTheme="majorBidi" w:cstheme="majorBidi"/>
          <w:sz w:val="24"/>
          <w:szCs w:val="24"/>
        </w:rPr>
        <w:t>W</w:t>
      </w:r>
      <w:r w:rsidRPr="0068735C">
        <w:rPr>
          <w:rFonts w:asciiTheme="majorBidi" w:hAnsiTheme="majorBidi" w:cstheme="majorBidi"/>
          <w:sz w:val="24"/>
          <w:szCs w:val="24"/>
          <w:vertAlign w:val="subscript"/>
        </w:rPr>
        <w:t>l</w:t>
      </w:r>
      <w:proofErr w:type="spellEnd"/>
      <w:r w:rsidRPr="0068735C">
        <w:rPr>
          <w:rFonts w:asciiTheme="majorBidi" w:hAnsiTheme="majorBidi" w:cstheme="majorBidi"/>
          <w:sz w:val="24"/>
          <w:szCs w:val="24"/>
        </w:rPr>
        <w:t>),</w:t>
      </w:r>
    </w:p>
    <w:p w:rsidR="00A963B6" w:rsidRPr="0068735C" w:rsidRDefault="00A963B6" w:rsidP="0039428F">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68735C">
        <w:rPr>
          <w:rFonts w:asciiTheme="majorBidi" w:hAnsiTheme="majorBidi" w:cstheme="majorBidi"/>
          <w:sz w:val="24"/>
          <w:szCs w:val="24"/>
        </w:rPr>
        <w:t>le passage d’un sol de l’état plastique à l’état solide : limite de plasticité (</w:t>
      </w:r>
      <w:proofErr w:type="spellStart"/>
      <w:r w:rsidRPr="0068735C">
        <w:rPr>
          <w:rFonts w:asciiTheme="majorBidi" w:hAnsiTheme="majorBidi" w:cstheme="majorBidi"/>
          <w:sz w:val="24"/>
          <w:szCs w:val="24"/>
        </w:rPr>
        <w:t>W</w:t>
      </w:r>
      <w:r w:rsidRPr="0068735C">
        <w:rPr>
          <w:rFonts w:asciiTheme="majorBidi" w:hAnsiTheme="majorBidi" w:cstheme="majorBidi"/>
          <w:sz w:val="24"/>
          <w:szCs w:val="24"/>
          <w:vertAlign w:val="subscript"/>
        </w:rPr>
        <w:t>p</w:t>
      </w:r>
      <w:proofErr w:type="spellEnd"/>
      <w:r w:rsidRPr="0068735C">
        <w:rPr>
          <w:rFonts w:asciiTheme="majorBidi" w:hAnsiTheme="majorBidi" w:cstheme="majorBidi"/>
          <w:sz w:val="24"/>
          <w:szCs w:val="24"/>
        </w:rPr>
        <w:t>).</w:t>
      </w:r>
    </w:p>
    <w:p w:rsidR="00A963B6" w:rsidRPr="0068735C" w:rsidRDefault="00A963B6" w:rsidP="0039428F">
      <w:pPr>
        <w:autoSpaceDE w:val="0"/>
        <w:autoSpaceDN w:val="0"/>
        <w:adjustRightInd w:val="0"/>
        <w:spacing w:line="360" w:lineRule="auto"/>
        <w:ind w:firstLine="720"/>
        <w:jc w:val="both"/>
        <w:rPr>
          <w:rFonts w:asciiTheme="majorBidi" w:hAnsiTheme="majorBidi" w:cstheme="majorBidi"/>
          <w:sz w:val="24"/>
          <w:szCs w:val="24"/>
        </w:rPr>
      </w:pPr>
      <w:r w:rsidRPr="0068735C">
        <w:rPr>
          <w:rFonts w:asciiTheme="majorBidi" w:hAnsiTheme="majorBidi" w:cstheme="majorBidi"/>
          <w:sz w:val="24"/>
          <w:szCs w:val="24"/>
        </w:rPr>
        <w:t xml:space="preserve">Ces limites ont pour valeur la teneur en eau du sol à l’état de transition considérée, exprimée en pourcentage de masse de la matière première brute. La différence </w:t>
      </w:r>
      <w:proofErr w:type="spellStart"/>
      <w:r w:rsidRPr="0068735C">
        <w:rPr>
          <w:rFonts w:asciiTheme="majorBidi" w:hAnsiTheme="majorBidi" w:cstheme="majorBidi"/>
          <w:sz w:val="24"/>
          <w:szCs w:val="24"/>
        </w:rPr>
        <w:t>I</w:t>
      </w:r>
      <w:r w:rsidRPr="0068735C">
        <w:rPr>
          <w:rFonts w:asciiTheme="majorBidi" w:hAnsiTheme="majorBidi" w:cstheme="majorBidi"/>
          <w:sz w:val="24"/>
          <w:szCs w:val="24"/>
          <w:vertAlign w:val="subscript"/>
        </w:rPr>
        <w:t>p</w:t>
      </w:r>
      <w:proofErr w:type="spellEnd"/>
      <w:r w:rsidRPr="0068735C">
        <w:rPr>
          <w:rFonts w:asciiTheme="majorBidi" w:hAnsiTheme="majorBidi" w:cstheme="majorBidi"/>
          <w:sz w:val="24"/>
          <w:szCs w:val="24"/>
        </w:rPr>
        <w:t xml:space="preserve"> = </w:t>
      </w:r>
      <w:proofErr w:type="spellStart"/>
      <w:r w:rsidRPr="0068735C">
        <w:rPr>
          <w:rFonts w:asciiTheme="majorBidi" w:hAnsiTheme="majorBidi" w:cstheme="majorBidi"/>
          <w:sz w:val="24"/>
          <w:szCs w:val="24"/>
        </w:rPr>
        <w:t>W</w:t>
      </w:r>
      <w:r w:rsidRPr="0068735C">
        <w:rPr>
          <w:rFonts w:asciiTheme="majorBidi" w:hAnsiTheme="majorBidi" w:cstheme="majorBidi"/>
          <w:sz w:val="24"/>
          <w:szCs w:val="24"/>
          <w:vertAlign w:val="subscript"/>
        </w:rPr>
        <w:t>l</w:t>
      </w:r>
      <w:proofErr w:type="spellEnd"/>
      <w:r w:rsidRPr="0068735C">
        <w:rPr>
          <w:rFonts w:asciiTheme="majorBidi" w:hAnsiTheme="majorBidi" w:cstheme="majorBidi"/>
          <w:sz w:val="24"/>
          <w:szCs w:val="24"/>
        </w:rPr>
        <w:t xml:space="preserve"> –</w:t>
      </w:r>
      <w:proofErr w:type="spellStart"/>
      <w:r w:rsidRPr="0068735C">
        <w:rPr>
          <w:rFonts w:asciiTheme="majorBidi" w:hAnsiTheme="majorBidi" w:cstheme="majorBidi"/>
          <w:sz w:val="24"/>
          <w:szCs w:val="24"/>
        </w:rPr>
        <w:t>W</w:t>
      </w:r>
      <w:r w:rsidRPr="0068735C">
        <w:rPr>
          <w:rFonts w:asciiTheme="majorBidi" w:hAnsiTheme="majorBidi" w:cstheme="majorBidi"/>
          <w:sz w:val="24"/>
          <w:szCs w:val="24"/>
          <w:vertAlign w:val="subscript"/>
        </w:rPr>
        <w:t>p</w:t>
      </w:r>
      <w:proofErr w:type="spellEnd"/>
      <w:r w:rsidRPr="0068735C">
        <w:rPr>
          <w:rFonts w:asciiTheme="majorBidi" w:hAnsiTheme="majorBidi" w:cstheme="majorBidi"/>
          <w:sz w:val="24"/>
          <w:szCs w:val="24"/>
        </w:rPr>
        <w:t xml:space="preserve"> qui définit l’étendue du domaine plastique, est particulièrement importante, c’est l’indice de plasticité [7]. L’indice de plasticité permet d’apprécier la quantité et le type d’argiles présentes dans un échantillon. Il définit donc l’argilosité</w:t>
      </w:r>
      <w:r w:rsidR="00D26D7C">
        <w:rPr>
          <w:rFonts w:asciiTheme="majorBidi" w:hAnsiTheme="majorBidi" w:cstheme="majorBidi"/>
          <w:sz w:val="24"/>
          <w:szCs w:val="24"/>
        </w:rPr>
        <w:t xml:space="preserve"> </w:t>
      </w:r>
      <w:r w:rsidRPr="0068735C">
        <w:rPr>
          <w:rFonts w:asciiTheme="majorBidi" w:hAnsiTheme="majorBidi" w:cstheme="majorBidi"/>
          <w:sz w:val="24"/>
          <w:szCs w:val="24"/>
        </w:rPr>
        <w:t>de l’échantillon</w:t>
      </w:r>
      <w:r w:rsidR="00D26D7C">
        <w:rPr>
          <w:rFonts w:asciiTheme="majorBidi" w:hAnsiTheme="majorBidi" w:cstheme="majorBidi"/>
          <w:sz w:val="24"/>
          <w:szCs w:val="24"/>
        </w:rPr>
        <w:t xml:space="preserve"> </w:t>
      </w:r>
      <w:r w:rsidR="002571C4" w:rsidRPr="0068735C">
        <w:rPr>
          <w:rFonts w:asciiTheme="majorBidi" w:hAnsiTheme="majorBidi" w:cstheme="majorBidi"/>
          <w:sz w:val="24"/>
          <w:szCs w:val="24"/>
        </w:rPr>
        <w:t>(</w:t>
      </w:r>
      <w:r w:rsidR="002571C4" w:rsidRPr="0068735C">
        <w:rPr>
          <w:rFonts w:asciiTheme="majorBidi" w:hAnsiTheme="majorBidi" w:cstheme="majorBidi"/>
        </w:rPr>
        <w:t>Figure II.2</w:t>
      </w:r>
      <w:r w:rsidR="002571C4" w:rsidRPr="0068735C">
        <w:rPr>
          <w:rFonts w:asciiTheme="majorBidi" w:hAnsiTheme="majorBidi" w:cstheme="majorBidi"/>
          <w:b/>
        </w:rPr>
        <w:t>)</w:t>
      </w:r>
      <w:r w:rsidRPr="0068735C">
        <w:rPr>
          <w:rFonts w:asciiTheme="majorBidi" w:hAnsiTheme="majorBidi" w:cstheme="majorBidi"/>
          <w:sz w:val="24"/>
          <w:szCs w:val="24"/>
        </w:rPr>
        <w:t>.</w:t>
      </w:r>
    </w:p>
    <w:p w:rsidR="002571C4" w:rsidRPr="0068735C" w:rsidRDefault="002571C4" w:rsidP="0039428F">
      <w:pPr>
        <w:autoSpaceDE w:val="0"/>
        <w:autoSpaceDN w:val="0"/>
        <w:adjustRightInd w:val="0"/>
        <w:spacing w:line="360" w:lineRule="auto"/>
        <w:ind w:firstLine="720"/>
        <w:jc w:val="both"/>
        <w:rPr>
          <w:rFonts w:asciiTheme="majorBidi" w:hAnsiTheme="majorBidi" w:cstheme="majorBidi"/>
          <w:sz w:val="24"/>
          <w:szCs w:val="24"/>
        </w:rPr>
      </w:pPr>
    </w:p>
    <w:p w:rsidR="00A963B6" w:rsidRPr="0068735C" w:rsidRDefault="00A963B6" w:rsidP="0039428F">
      <w:pPr>
        <w:spacing w:line="360" w:lineRule="auto"/>
        <w:ind w:firstLine="567"/>
        <w:jc w:val="center"/>
        <w:rPr>
          <w:rFonts w:asciiTheme="majorBidi" w:hAnsiTheme="majorBidi" w:cstheme="majorBidi"/>
        </w:rPr>
      </w:pPr>
      <w:r w:rsidRPr="0068735C">
        <w:rPr>
          <w:rFonts w:asciiTheme="majorBidi" w:hAnsiTheme="majorBidi" w:cstheme="majorBidi"/>
          <w:noProof/>
          <w:lang w:eastAsia="fr-FR"/>
        </w:rPr>
        <w:drawing>
          <wp:inline distT="0" distB="0" distL="0" distR="0">
            <wp:extent cx="2154115" cy="1615700"/>
            <wp:effectExtent l="0" t="0" r="0" b="0"/>
            <wp:docPr id="75" name="Imag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_0120.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4620" cy="1616079"/>
                    </a:xfrm>
                    <a:prstGeom prst="rect">
                      <a:avLst/>
                    </a:prstGeom>
                  </pic:spPr>
                </pic:pic>
              </a:graphicData>
            </a:graphic>
          </wp:inline>
        </w:drawing>
      </w:r>
    </w:p>
    <w:p w:rsidR="002571C4" w:rsidRPr="0068735C" w:rsidRDefault="00A963B6" w:rsidP="002571C4">
      <w:pPr>
        <w:spacing w:line="360" w:lineRule="auto"/>
        <w:ind w:firstLine="567"/>
        <w:jc w:val="center"/>
        <w:rPr>
          <w:rFonts w:asciiTheme="majorBidi" w:hAnsiTheme="majorBidi" w:cstheme="majorBidi"/>
          <w:b/>
        </w:rPr>
      </w:pPr>
      <w:r w:rsidRPr="0068735C">
        <w:rPr>
          <w:rFonts w:asciiTheme="majorBidi" w:hAnsiTheme="majorBidi" w:cstheme="majorBidi"/>
          <w:b/>
        </w:rPr>
        <w:t xml:space="preserve">Figure II.2: </w:t>
      </w:r>
      <w:r w:rsidR="002B26EF" w:rsidRPr="0068735C">
        <w:rPr>
          <w:rFonts w:asciiTheme="majorBidi" w:hAnsiTheme="majorBidi" w:cstheme="majorBidi"/>
          <w:b/>
        </w:rPr>
        <w:t>A</w:t>
      </w:r>
      <w:r w:rsidRPr="0068735C">
        <w:rPr>
          <w:rFonts w:asciiTheme="majorBidi" w:hAnsiTheme="majorBidi" w:cstheme="majorBidi"/>
          <w:b/>
        </w:rPr>
        <w:t>ppareillage de limites d’Atterberg.</w:t>
      </w:r>
    </w:p>
    <w:p w:rsidR="00A963B6" w:rsidRPr="0068735C" w:rsidRDefault="00A963B6" w:rsidP="0039428F">
      <w:pPr>
        <w:pStyle w:val="Titre3"/>
        <w:spacing w:before="0" w:line="360" w:lineRule="auto"/>
        <w:rPr>
          <w:rFonts w:ascii="Times New Roman" w:eastAsiaTheme="minorHAnsi" w:hAnsi="Times New Roman" w:cs="Times New Roman"/>
          <w:color w:val="auto"/>
          <w:sz w:val="24"/>
          <w:szCs w:val="24"/>
          <w:lang w:eastAsia="en-US"/>
        </w:rPr>
      </w:pPr>
      <w:bookmarkStart w:id="14" w:name="_Toc326838025"/>
      <w:r w:rsidRPr="0068735C">
        <w:rPr>
          <w:color w:val="auto"/>
        </w:rPr>
        <w:t xml:space="preserve">II.2.1.6 </w:t>
      </w:r>
      <w:r w:rsidRPr="0068735C">
        <w:rPr>
          <w:rFonts w:ascii="Times New Roman" w:eastAsiaTheme="minorHAnsi" w:hAnsi="Times New Roman" w:cs="Times New Roman"/>
          <w:color w:val="auto"/>
          <w:sz w:val="24"/>
          <w:szCs w:val="24"/>
          <w:lang w:eastAsia="en-US"/>
        </w:rPr>
        <w:t xml:space="preserve">L’essai au bleu de </w:t>
      </w:r>
      <w:r w:rsidR="0068735C" w:rsidRPr="0068735C">
        <w:rPr>
          <w:rFonts w:ascii="Times New Roman" w:eastAsiaTheme="minorHAnsi" w:hAnsi="Times New Roman" w:cs="Times New Roman"/>
          <w:color w:val="auto"/>
          <w:sz w:val="24"/>
          <w:szCs w:val="24"/>
          <w:lang w:eastAsia="en-US"/>
        </w:rPr>
        <w:t>méthylène</w:t>
      </w:r>
      <w:r w:rsidR="0068735C" w:rsidRPr="0068735C">
        <w:rPr>
          <w:rFonts w:ascii="Times New Roman" w:hAnsi="Times New Roman" w:cs="Times New Roman"/>
          <w:bCs w:val="0"/>
          <w:color w:val="auto"/>
          <w:sz w:val="24"/>
          <w:szCs w:val="24"/>
        </w:rPr>
        <w:t xml:space="preserve"> (</w:t>
      </w:r>
      <w:r w:rsidRPr="0068735C">
        <w:rPr>
          <w:rFonts w:ascii="Times New Roman" w:hAnsi="Times New Roman" w:cs="Times New Roman"/>
          <w:bCs w:val="0"/>
          <w:color w:val="auto"/>
          <w:sz w:val="24"/>
          <w:szCs w:val="24"/>
        </w:rPr>
        <w:t>NF P 94-068)</w:t>
      </w:r>
      <w:r w:rsidRPr="0068735C">
        <w:rPr>
          <w:rFonts w:ascii="Times New Roman" w:eastAsiaTheme="minorHAnsi" w:hAnsi="Times New Roman" w:cs="Times New Roman"/>
          <w:color w:val="auto"/>
          <w:sz w:val="24"/>
          <w:szCs w:val="24"/>
          <w:lang w:eastAsia="en-US"/>
        </w:rPr>
        <w:t> :</w:t>
      </w:r>
      <w:bookmarkEnd w:id="14"/>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r w:rsidRPr="0068735C">
        <w:rPr>
          <w:rFonts w:ascii="Times New Roman" w:hAnsi="Times New Roman" w:cs="Times New Roman"/>
          <w:sz w:val="24"/>
          <w:szCs w:val="24"/>
        </w:rPr>
        <w:t>L’essai est réalisé sur la fraction 0/0.08 mm, il consiste à déterminer la quantité de bleu de</w:t>
      </w:r>
      <w:r w:rsidR="00D26D7C">
        <w:rPr>
          <w:rFonts w:ascii="Times New Roman" w:hAnsi="Times New Roman" w:cs="Times New Roman"/>
          <w:sz w:val="24"/>
          <w:szCs w:val="24"/>
        </w:rPr>
        <w:t xml:space="preserve"> </w:t>
      </w:r>
      <w:r w:rsidRPr="0068735C">
        <w:rPr>
          <w:rFonts w:ascii="Times New Roman" w:hAnsi="Times New Roman" w:cs="Times New Roman"/>
          <w:sz w:val="24"/>
          <w:szCs w:val="24"/>
        </w:rPr>
        <w:t>méthylène nécessaire à la saturation des particules argileuses en suspension dans l’eau et en</w:t>
      </w:r>
      <w:r w:rsidR="00D26D7C">
        <w:rPr>
          <w:rFonts w:ascii="Times New Roman" w:hAnsi="Times New Roman" w:cs="Times New Roman"/>
          <w:sz w:val="24"/>
          <w:szCs w:val="24"/>
        </w:rPr>
        <w:t xml:space="preserve"> </w:t>
      </w:r>
      <w:r w:rsidRPr="0068735C">
        <w:rPr>
          <w:rFonts w:ascii="Times New Roman" w:hAnsi="Times New Roman" w:cs="Times New Roman"/>
          <w:sz w:val="24"/>
          <w:szCs w:val="24"/>
        </w:rPr>
        <w:t>permanence agitation .La valeur de bleu VBs est la quantité de bleu méthylène absorbé par30 g de matériau</w:t>
      </w:r>
      <w:r w:rsidR="002571C4" w:rsidRPr="0068735C">
        <w:rPr>
          <w:rFonts w:ascii="Times New Roman" w:hAnsi="Times New Roman" w:cs="Times New Roman"/>
          <w:sz w:val="24"/>
          <w:szCs w:val="24"/>
        </w:rPr>
        <w:t xml:space="preserve"> (figure II.3)</w:t>
      </w:r>
      <w:r w:rsidRPr="0068735C">
        <w:rPr>
          <w:rFonts w:ascii="Times New Roman" w:hAnsi="Times New Roman" w:cs="Times New Roman"/>
          <w:sz w:val="24"/>
          <w:szCs w:val="24"/>
        </w:rPr>
        <w:t>.</w:t>
      </w: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r w:rsidRPr="0068735C">
        <w:rPr>
          <w:rFonts w:asciiTheme="majorBidi" w:hAnsiTheme="majorBidi" w:cstheme="majorBidi"/>
          <w:noProof/>
          <w:sz w:val="24"/>
          <w:szCs w:val="24"/>
          <w:lang w:eastAsia="fr-FR"/>
        </w:rPr>
        <w:drawing>
          <wp:anchor distT="0" distB="0" distL="114300" distR="114300" simplePos="0" relativeHeight="251659264" behindDoc="0" locked="0" layoutInCell="1" allowOverlap="1">
            <wp:simplePos x="0" y="0"/>
            <wp:positionH relativeFrom="column">
              <wp:posOffset>141605</wp:posOffset>
            </wp:positionH>
            <wp:positionV relativeFrom="paragraph">
              <wp:posOffset>27940</wp:posOffset>
            </wp:positionV>
            <wp:extent cx="5139690" cy="2938145"/>
            <wp:effectExtent l="19050" t="0" r="3810" b="0"/>
            <wp:wrapSquare wrapText="bothSides"/>
            <wp:docPr id="76" name="Image 5" descr="bleu me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u meth.png"/>
                    <pic:cNvPicPr/>
                  </pic:nvPicPr>
                  <pic:blipFill>
                    <a:blip r:embed="rId11"/>
                    <a:stretch>
                      <a:fillRect/>
                    </a:stretch>
                  </pic:blipFill>
                  <pic:spPr>
                    <a:xfrm>
                      <a:off x="0" y="0"/>
                      <a:ext cx="5139690" cy="2938145"/>
                    </a:xfrm>
                    <a:prstGeom prst="rect">
                      <a:avLst/>
                    </a:prstGeom>
                  </pic:spPr>
                </pic:pic>
              </a:graphicData>
            </a:graphic>
          </wp:anchor>
        </w:drawing>
      </w: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rPr>
          <w:rFonts w:asciiTheme="majorBidi" w:hAnsiTheme="majorBidi" w:cstheme="majorBidi"/>
          <w:sz w:val="24"/>
          <w:szCs w:val="24"/>
        </w:rPr>
      </w:pPr>
    </w:p>
    <w:p w:rsidR="00A963B6" w:rsidRPr="0068735C" w:rsidRDefault="00A963B6" w:rsidP="0039428F">
      <w:pPr>
        <w:autoSpaceDE w:val="0"/>
        <w:autoSpaceDN w:val="0"/>
        <w:adjustRightInd w:val="0"/>
        <w:spacing w:after="0" w:line="360" w:lineRule="auto"/>
        <w:jc w:val="center"/>
        <w:rPr>
          <w:rFonts w:ascii="Times New Roman" w:hAnsi="Times New Roman" w:cs="Times New Roman"/>
          <w:b/>
        </w:rPr>
      </w:pPr>
      <w:r w:rsidRPr="0068735C">
        <w:rPr>
          <w:rFonts w:ascii="Times New Roman" w:hAnsi="Times New Roman" w:cs="Times New Roman"/>
          <w:b/>
        </w:rPr>
        <w:t xml:space="preserve">Figure II.3 : </w:t>
      </w:r>
      <w:r w:rsidR="002571C4" w:rsidRPr="0068735C">
        <w:rPr>
          <w:rFonts w:ascii="Times New Roman" w:hAnsi="Times New Roman" w:cs="Times New Roman"/>
          <w:b/>
        </w:rPr>
        <w:t>L</w:t>
      </w:r>
      <w:r w:rsidRPr="0068735C">
        <w:rPr>
          <w:rFonts w:ascii="Times New Roman" w:hAnsi="Times New Roman" w:cs="Times New Roman"/>
          <w:b/>
        </w:rPr>
        <w:t>es</w:t>
      </w:r>
      <w:r w:rsidR="00853069">
        <w:rPr>
          <w:rFonts w:ascii="Times New Roman" w:hAnsi="Times New Roman" w:cs="Times New Roman"/>
          <w:b/>
        </w:rPr>
        <w:t xml:space="preserve"> </w:t>
      </w:r>
      <w:r w:rsidRPr="0068735C">
        <w:rPr>
          <w:rFonts w:ascii="Times New Roman" w:hAnsi="Times New Roman" w:cs="Times New Roman"/>
          <w:b/>
        </w:rPr>
        <w:t>étapes de l’essai au bleu de méthylène.</w:t>
      </w:r>
    </w:p>
    <w:p w:rsidR="002571C4" w:rsidRPr="0068735C" w:rsidRDefault="002571C4" w:rsidP="0039428F">
      <w:pPr>
        <w:autoSpaceDE w:val="0"/>
        <w:autoSpaceDN w:val="0"/>
        <w:adjustRightInd w:val="0"/>
        <w:spacing w:after="0" w:line="360" w:lineRule="auto"/>
        <w:jc w:val="center"/>
        <w:rPr>
          <w:rFonts w:ascii="Times New Roman" w:hAnsi="Times New Roman" w:cs="Times New Roman"/>
          <w:b/>
        </w:rPr>
      </w:pPr>
    </w:p>
    <w:p w:rsidR="00A963B6" w:rsidRPr="0068735C" w:rsidRDefault="00A963B6" w:rsidP="0039428F">
      <w:pPr>
        <w:autoSpaceDE w:val="0"/>
        <w:autoSpaceDN w:val="0"/>
        <w:adjustRightInd w:val="0"/>
        <w:spacing w:after="0" w:line="360" w:lineRule="auto"/>
        <w:ind w:firstLine="567"/>
        <w:rPr>
          <w:rFonts w:asciiTheme="majorBidi" w:hAnsiTheme="majorBidi" w:cstheme="majorBidi"/>
          <w:sz w:val="24"/>
          <w:szCs w:val="24"/>
        </w:rPr>
      </w:pPr>
      <w:r w:rsidRPr="0068735C">
        <w:rPr>
          <w:rFonts w:asciiTheme="majorBidi" w:hAnsiTheme="majorBidi" w:cstheme="majorBidi"/>
          <w:sz w:val="24"/>
          <w:szCs w:val="24"/>
        </w:rPr>
        <w:t>A titre d'identification le tableau représente les valeurs de bleu de quelques sols.</w:t>
      </w:r>
    </w:p>
    <w:p w:rsidR="00A963B6" w:rsidRPr="0068735C" w:rsidRDefault="00A963B6" w:rsidP="0039428F">
      <w:pPr>
        <w:spacing w:line="360" w:lineRule="auto"/>
        <w:ind w:firstLine="284"/>
        <w:jc w:val="center"/>
        <w:rPr>
          <w:rFonts w:ascii="Times New Roman" w:hAnsi="Times New Roman" w:cs="Times New Roman"/>
          <w:b/>
          <w:bCs/>
        </w:rPr>
      </w:pPr>
      <w:r w:rsidRPr="0068735C">
        <w:rPr>
          <w:rFonts w:ascii="Times New Roman" w:hAnsi="Times New Roman" w:cs="Times New Roman"/>
          <w:b/>
          <w:bCs/>
          <w:noProof/>
          <w:lang w:eastAsia="fr-FR"/>
        </w:rPr>
        <w:lastRenderedPageBreak/>
        <w:drawing>
          <wp:anchor distT="0" distB="0" distL="114300" distR="114300" simplePos="0" relativeHeight="251663360" behindDoc="0" locked="0" layoutInCell="1" allowOverlap="1">
            <wp:simplePos x="0" y="0"/>
            <wp:positionH relativeFrom="column">
              <wp:posOffset>324485</wp:posOffset>
            </wp:positionH>
            <wp:positionV relativeFrom="paragraph">
              <wp:posOffset>52070</wp:posOffset>
            </wp:positionV>
            <wp:extent cx="5244465" cy="898525"/>
            <wp:effectExtent l="19050" t="0" r="0" b="0"/>
            <wp:wrapSquare wrapText="bothSides"/>
            <wp:docPr id="77" name="Image 20" descr="bl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u.png"/>
                    <pic:cNvPicPr/>
                  </pic:nvPicPr>
                  <pic:blipFill>
                    <a:blip r:embed="rId12"/>
                    <a:stretch>
                      <a:fillRect/>
                    </a:stretch>
                  </pic:blipFill>
                  <pic:spPr>
                    <a:xfrm>
                      <a:off x="0" y="0"/>
                      <a:ext cx="5244465" cy="898525"/>
                    </a:xfrm>
                    <a:prstGeom prst="rect">
                      <a:avLst/>
                    </a:prstGeom>
                  </pic:spPr>
                </pic:pic>
              </a:graphicData>
            </a:graphic>
          </wp:anchor>
        </w:drawing>
      </w:r>
      <w:r w:rsidRPr="0068735C">
        <w:rPr>
          <w:rFonts w:ascii="Times New Roman" w:hAnsi="Times New Roman" w:cs="Times New Roman"/>
          <w:b/>
          <w:bCs/>
        </w:rPr>
        <w:t xml:space="preserve">Figure II.4: </w:t>
      </w:r>
      <w:r w:rsidR="002571C4" w:rsidRPr="0068735C">
        <w:rPr>
          <w:rFonts w:ascii="Times New Roman" w:hAnsi="Times New Roman" w:cs="Times New Roman"/>
          <w:b/>
          <w:iCs/>
        </w:rPr>
        <w:t>V</w:t>
      </w:r>
      <w:r w:rsidRPr="0068735C">
        <w:rPr>
          <w:rFonts w:ascii="Times New Roman" w:hAnsi="Times New Roman" w:cs="Times New Roman"/>
          <w:b/>
          <w:iCs/>
        </w:rPr>
        <w:t>aleur</w:t>
      </w:r>
      <w:r w:rsidR="002571C4" w:rsidRPr="0068735C">
        <w:rPr>
          <w:rFonts w:ascii="Times New Roman" w:hAnsi="Times New Roman" w:cs="Times New Roman"/>
          <w:b/>
          <w:iCs/>
        </w:rPr>
        <w:t>s</w:t>
      </w:r>
      <w:r w:rsidRPr="0068735C">
        <w:rPr>
          <w:rFonts w:ascii="Times New Roman" w:hAnsi="Times New Roman" w:cs="Times New Roman"/>
          <w:b/>
          <w:iCs/>
        </w:rPr>
        <w:t xml:space="preserve"> de bleu de quelques sols</w:t>
      </w:r>
      <w:r w:rsidRPr="0068735C">
        <w:rPr>
          <w:rFonts w:ascii="Times New Roman" w:hAnsi="Times New Roman" w:cs="Times New Roman"/>
          <w:b/>
        </w:rPr>
        <w:t>.</w:t>
      </w:r>
    </w:p>
    <w:p w:rsidR="00A963B6" w:rsidRPr="0068735C" w:rsidRDefault="00A963B6" w:rsidP="0039428F">
      <w:pPr>
        <w:pStyle w:val="Titre3"/>
        <w:spacing w:before="0" w:line="360" w:lineRule="auto"/>
        <w:rPr>
          <w:rFonts w:ascii="Times New Roman" w:hAnsi="Times New Roman" w:cs="Times New Roman"/>
          <w:color w:val="auto"/>
          <w:spacing w:val="-6"/>
          <w:sz w:val="24"/>
          <w:szCs w:val="24"/>
        </w:rPr>
      </w:pPr>
      <w:bookmarkStart w:id="15" w:name="_Toc326838026"/>
      <w:r w:rsidRPr="0068735C">
        <w:rPr>
          <w:rFonts w:ascii="Times New Roman" w:hAnsi="Times New Roman" w:cs="Times New Roman"/>
          <w:color w:val="auto"/>
          <w:sz w:val="24"/>
          <w:szCs w:val="24"/>
          <w:lang w:eastAsia="en-US" w:bidi="en-US"/>
        </w:rPr>
        <w:t xml:space="preserve">II.2.1.7 </w:t>
      </w:r>
      <w:r w:rsidRPr="0068735C">
        <w:rPr>
          <w:rFonts w:ascii="Times New Roman" w:hAnsi="Times New Roman" w:cs="Times New Roman"/>
          <w:color w:val="auto"/>
          <w:sz w:val="24"/>
          <w:szCs w:val="24"/>
        </w:rPr>
        <w:t>Coefficient de fragmentabilité</w:t>
      </w:r>
      <w:r w:rsidR="00D26D7C">
        <w:rPr>
          <w:rFonts w:ascii="Times New Roman" w:hAnsi="Times New Roman" w:cs="Times New Roman"/>
          <w:color w:val="auto"/>
          <w:sz w:val="24"/>
          <w:szCs w:val="24"/>
        </w:rPr>
        <w:t xml:space="preserve"> </w:t>
      </w:r>
      <w:r w:rsidRPr="0068735C">
        <w:rPr>
          <w:rFonts w:ascii="Times New Roman" w:hAnsi="Times New Roman" w:cs="Times New Roman"/>
          <w:color w:val="auto"/>
          <w:spacing w:val="-6"/>
          <w:sz w:val="24"/>
          <w:szCs w:val="24"/>
        </w:rPr>
        <w:t>des matériaux rocheux </w:t>
      </w:r>
      <w:r w:rsidRPr="0068735C">
        <w:rPr>
          <w:rFonts w:ascii="Times New Roman" w:hAnsi="Times New Roman" w:cs="Times New Roman"/>
          <w:bCs w:val="0"/>
          <w:color w:val="auto"/>
          <w:sz w:val="24"/>
          <w:szCs w:val="24"/>
        </w:rPr>
        <w:t>(NF P 94-066)</w:t>
      </w:r>
      <w:r w:rsidRPr="0068735C">
        <w:rPr>
          <w:rFonts w:ascii="Times New Roman" w:eastAsiaTheme="minorHAnsi" w:hAnsi="Times New Roman" w:cs="Times New Roman"/>
          <w:color w:val="auto"/>
          <w:sz w:val="24"/>
          <w:szCs w:val="24"/>
          <w:lang w:eastAsia="en-US"/>
        </w:rPr>
        <w:t> </w:t>
      </w:r>
      <w:r w:rsidRPr="0068735C">
        <w:rPr>
          <w:rFonts w:ascii="Times New Roman" w:hAnsi="Times New Roman" w:cs="Times New Roman"/>
          <w:color w:val="auto"/>
          <w:spacing w:val="-6"/>
          <w:sz w:val="24"/>
          <w:szCs w:val="24"/>
        </w:rPr>
        <w:t>:</w:t>
      </w:r>
      <w:bookmarkEnd w:id="15"/>
    </w:p>
    <w:p w:rsidR="00A963B6" w:rsidRPr="0068735C" w:rsidRDefault="00A963B6" w:rsidP="0039428F">
      <w:pPr>
        <w:spacing w:line="360" w:lineRule="auto"/>
        <w:ind w:left="72" w:right="72" w:firstLine="495"/>
        <w:jc w:val="both"/>
        <w:rPr>
          <w:rFonts w:asciiTheme="majorBidi" w:hAnsiTheme="majorBidi" w:cstheme="majorBidi"/>
          <w:spacing w:val="6"/>
          <w:sz w:val="24"/>
          <w:szCs w:val="24"/>
        </w:rPr>
      </w:pPr>
      <w:r w:rsidRPr="0068735C">
        <w:rPr>
          <w:rFonts w:asciiTheme="majorBidi" w:hAnsiTheme="majorBidi" w:cstheme="majorBidi"/>
          <w:spacing w:val="3"/>
          <w:sz w:val="24"/>
          <w:szCs w:val="24"/>
        </w:rPr>
        <w:t xml:space="preserve">Le coefficient de fragmentabilité constitue un des paramètres représentatifs du comportement de certains </w:t>
      </w:r>
      <w:r w:rsidRPr="0068735C">
        <w:rPr>
          <w:rFonts w:asciiTheme="majorBidi" w:hAnsiTheme="majorBidi" w:cstheme="majorBidi"/>
          <w:spacing w:val="5"/>
          <w:sz w:val="24"/>
          <w:szCs w:val="24"/>
        </w:rPr>
        <w:t>matériaux rocheux se traduisant par une évolution continue de leur granularité depuis leur extraction jusq</w:t>
      </w:r>
      <w:r w:rsidRPr="0068735C">
        <w:rPr>
          <w:rFonts w:asciiTheme="majorBidi" w:hAnsiTheme="majorBidi" w:cstheme="majorBidi"/>
          <w:spacing w:val="4"/>
          <w:sz w:val="24"/>
          <w:szCs w:val="24"/>
        </w:rPr>
        <w:t xml:space="preserve">u’au terme de leur mise en œuvre et qui, pour quelques-uns d'entre eux, se poursuit encore durant la vie </w:t>
      </w:r>
      <w:r w:rsidRPr="0068735C">
        <w:rPr>
          <w:rFonts w:asciiTheme="majorBidi" w:hAnsiTheme="majorBidi" w:cstheme="majorBidi"/>
          <w:spacing w:val="5"/>
          <w:sz w:val="24"/>
          <w:szCs w:val="24"/>
        </w:rPr>
        <w:t xml:space="preserve">des ouvrages. Cette évolution est imputable à une résistance structurelle de la roche insuffisante vis-à-vis </w:t>
      </w:r>
      <w:r w:rsidRPr="0068735C">
        <w:rPr>
          <w:rFonts w:asciiTheme="majorBidi" w:hAnsiTheme="majorBidi" w:cstheme="majorBidi"/>
          <w:spacing w:val="6"/>
          <w:sz w:val="24"/>
          <w:szCs w:val="24"/>
        </w:rPr>
        <w:t>des sollicitations mécaniques appliquées lors de la mise en œuvre et dans l'ouvrage en service.</w:t>
      </w:r>
    </w:p>
    <w:p w:rsidR="00A963B6" w:rsidRPr="0068735C" w:rsidRDefault="00A963B6" w:rsidP="0039428F">
      <w:pPr>
        <w:spacing w:line="360" w:lineRule="auto"/>
        <w:ind w:left="72" w:right="72" w:firstLine="495"/>
        <w:jc w:val="both"/>
        <w:rPr>
          <w:rFonts w:asciiTheme="majorBidi" w:hAnsiTheme="majorBidi" w:cstheme="majorBidi"/>
          <w:spacing w:val="4"/>
          <w:sz w:val="24"/>
          <w:szCs w:val="24"/>
        </w:rPr>
      </w:pPr>
      <w:r w:rsidRPr="0068735C">
        <w:rPr>
          <w:rFonts w:asciiTheme="majorBidi" w:hAnsiTheme="majorBidi" w:cstheme="majorBidi"/>
          <w:spacing w:val="5"/>
          <w:sz w:val="24"/>
          <w:szCs w:val="24"/>
        </w:rPr>
        <w:t xml:space="preserve">Le coefficient de fragmentabilité est un des paramètres d'identification retenu dans </w:t>
      </w:r>
      <w:r w:rsidR="002571C4" w:rsidRPr="0068735C">
        <w:rPr>
          <w:rFonts w:asciiTheme="majorBidi" w:hAnsiTheme="majorBidi" w:cstheme="majorBidi"/>
          <w:spacing w:val="5"/>
          <w:sz w:val="24"/>
          <w:szCs w:val="24"/>
        </w:rPr>
        <w:t>l</w:t>
      </w:r>
      <w:r w:rsidRPr="0068735C">
        <w:rPr>
          <w:rFonts w:asciiTheme="majorBidi" w:hAnsiTheme="majorBidi" w:cstheme="majorBidi"/>
          <w:spacing w:val="5"/>
          <w:sz w:val="24"/>
          <w:szCs w:val="24"/>
        </w:rPr>
        <w:t xml:space="preserve">a classification des </w:t>
      </w:r>
      <w:r w:rsidRPr="0068735C">
        <w:rPr>
          <w:rFonts w:asciiTheme="majorBidi" w:hAnsiTheme="majorBidi" w:cstheme="majorBidi"/>
          <w:spacing w:val="8"/>
          <w:sz w:val="24"/>
          <w:szCs w:val="24"/>
        </w:rPr>
        <w:t>matériaux utilisables dans la construction des remblais et des couches de forme d'</w:t>
      </w:r>
      <w:r w:rsidR="002571C4" w:rsidRPr="0068735C">
        <w:rPr>
          <w:rFonts w:asciiTheme="majorBidi" w:hAnsiTheme="majorBidi" w:cstheme="majorBidi"/>
          <w:spacing w:val="8"/>
          <w:sz w:val="24"/>
          <w:szCs w:val="24"/>
        </w:rPr>
        <w:t>i</w:t>
      </w:r>
      <w:r w:rsidRPr="0068735C">
        <w:rPr>
          <w:rFonts w:asciiTheme="majorBidi" w:hAnsiTheme="majorBidi" w:cstheme="majorBidi"/>
          <w:spacing w:val="8"/>
          <w:sz w:val="24"/>
          <w:szCs w:val="24"/>
        </w:rPr>
        <w:t>nfrastructures rout</w:t>
      </w:r>
      <w:r w:rsidRPr="0068735C">
        <w:rPr>
          <w:rFonts w:asciiTheme="majorBidi" w:hAnsiTheme="majorBidi" w:cstheme="majorBidi"/>
          <w:spacing w:val="4"/>
          <w:sz w:val="24"/>
          <w:szCs w:val="24"/>
        </w:rPr>
        <w:t>ières.</w:t>
      </w:r>
    </w:p>
    <w:p w:rsidR="00A963B6" w:rsidRPr="0068735C" w:rsidRDefault="00A963B6" w:rsidP="0039428F">
      <w:pPr>
        <w:spacing w:line="360" w:lineRule="auto"/>
        <w:ind w:left="72" w:firstLine="495"/>
        <w:rPr>
          <w:rFonts w:asciiTheme="majorBidi" w:hAnsiTheme="majorBidi" w:cstheme="majorBidi"/>
          <w:spacing w:val="-2"/>
          <w:sz w:val="24"/>
          <w:szCs w:val="24"/>
        </w:rPr>
      </w:pPr>
      <w:r w:rsidRPr="0068735C">
        <w:rPr>
          <w:rFonts w:asciiTheme="majorBidi" w:hAnsiTheme="majorBidi" w:cstheme="majorBidi"/>
          <w:spacing w:val="-1"/>
          <w:sz w:val="24"/>
          <w:szCs w:val="24"/>
        </w:rPr>
        <w:t>L'essai consiste à déterminer la réduction du D</w:t>
      </w:r>
      <w:r w:rsidRPr="0068735C">
        <w:rPr>
          <w:rFonts w:asciiTheme="majorBidi" w:hAnsiTheme="majorBidi" w:cstheme="majorBidi"/>
          <w:spacing w:val="-1"/>
          <w:sz w:val="24"/>
          <w:szCs w:val="24"/>
          <w:vertAlign w:val="subscript"/>
        </w:rPr>
        <w:t>10</w:t>
      </w:r>
      <w:r w:rsidRPr="0068735C">
        <w:rPr>
          <w:rFonts w:asciiTheme="majorBidi" w:hAnsiTheme="majorBidi" w:cstheme="majorBidi"/>
          <w:spacing w:val="-1"/>
          <w:sz w:val="24"/>
          <w:szCs w:val="24"/>
        </w:rPr>
        <w:t xml:space="preserve"> d'un échantillon de granularité d/D donnée soumis à </w:t>
      </w:r>
      <w:r w:rsidRPr="0068735C">
        <w:rPr>
          <w:rFonts w:asciiTheme="majorBidi" w:hAnsiTheme="majorBidi" w:cstheme="majorBidi"/>
          <w:spacing w:val="-2"/>
          <w:sz w:val="24"/>
          <w:szCs w:val="24"/>
        </w:rPr>
        <w:t>un pilonnage conventionnel</w:t>
      </w:r>
      <w:r w:rsidR="00755AA5" w:rsidRPr="0068735C">
        <w:rPr>
          <w:rFonts w:asciiTheme="majorBidi" w:hAnsiTheme="majorBidi" w:cstheme="majorBidi"/>
          <w:spacing w:val="-2"/>
          <w:sz w:val="24"/>
          <w:szCs w:val="24"/>
        </w:rPr>
        <w:t xml:space="preserve"> (figure II.5)</w:t>
      </w:r>
      <w:r w:rsidRPr="0068735C">
        <w:rPr>
          <w:rFonts w:asciiTheme="majorBidi" w:hAnsiTheme="majorBidi" w:cstheme="majorBidi"/>
          <w:spacing w:val="-2"/>
          <w:sz w:val="24"/>
          <w:szCs w:val="24"/>
        </w:rPr>
        <w:t>.</w:t>
      </w:r>
    </w:p>
    <w:p w:rsidR="00A963B6" w:rsidRPr="0068735C" w:rsidRDefault="00A963B6" w:rsidP="0039428F">
      <w:pPr>
        <w:spacing w:after="252" w:line="360" w:lineRule="auto"/>
        <w:ind w:left="72" w:firstLine="495"/>
        <w:rPr>
          <w:rFonts w:asciiTheme="majorBidi" w:hAnsiTheme="majorBidi" w:cstheme="majorBidi"/>
          <w:spacing w:val="-4"/>
          <w:sz w:val="24"/>
          <w:szCs w:val="24"/>
        </w:rPr>
      </w:pPr>
      <w:r w:rsidRPr="0068735C">
        <w:rPr>
          <w:rFonts w:asciiTheme="majorBidi" w:hAnsiTheme="majorBidi" w:cstheme="majorBidi"/>
          <w:spacing w:val="-4"/>
          <w:sz w:val="24"/>
          <w:szCs w:val="24"/>
        </w:rPr>
        <w:t>Cette réduction s'exprime par le rapport :</w:t>
      </w:r>
    </w:p>
    <w:p w:rsidR="00A963B6" w:rsidRPr="0068735C" w:rsidRDefault="00A963B6" w:rsidP="0039428F">
      <w:pPr>
        <w:spacing w:line="360" w:lineRule="auto"/>
        <w:jc w:val="both"/>
        <w:rPr>
          <w:rFonts w:asciiTheme="majorBidi" w:hAnsiTheme="majorBidi" w:cstheme="majorBidi"/>
          <w:spacing w:val="-3"/>
          <w:sz w:val="24"/>
          <w:szCs w:val="24"/>
        </w:rPr>
      </w:pPr>
      <m:oMathPara>
        <m:oMath>
          <m:r>
            <w:rPr>
              <w:rFonts w:ascii="Cambria Math" w:hAnsi="Cambria Math" w:cstheme="majorBidi"/>
              <w:spacing w:val="-3"/>
              <w:sz w:val="24"/>
              <w:szCs w:val="24"/>
            </w:rPr>
            <m:t xml:space="preserve">FR= </m:t>
          </m:r>
          <m:f>
            <m:fPr>
              <m:ctrlPr>
                <w:rPr>
                  <w:rFonts w:ascii="Cambria Math" w:hAnsi="Cambria Math" w:cstheme="majorBidi"/>
                  <w:i/>
                  <w:spacing w:val="-3"/>
                  <w:sz w:val="24"/>
                  <w:szCs w:val="24"/>
                </w:rPr>
              </m:ctrlPr>
            </m:fPr>
            <m:num>
              <m:sSub>
                <m:sSubPr>
                  <m:ctrlPr>
                    <w:rPr>
                      <w:rFonts w:ascii="Cambria Math" w:hAnsi="Cambria Math" w:cstheme="majorBidi"/>
                      <w:sz w:val="24"/>
                      <w:szCs w:val="24"/>
                    </w:rPr>
                  </m:ctrlPr>
                </m:sSubPr>
                <m:e>
                  <m:r>
                    <m:rPr>
                      <m:sty m:val="p"/>
                    </m:rPr>
                    <w:rPr>
                      <w:rFonts w:ascii="Cambria Math" w:hAnsi="Cambria Math" w:cstheme="majorBidi"/>
                      <w:sz w:val="24"/>
                      <w:szCs w:val="24"/>
                    </w:rPr>
                    <m:t>D</m:t>
                  </m:r>
                </m:e>
                <m:sub>
                  <m:r>
                    <m:rPr>
                      <m:sty m:val="p"/>
                    </m:rPr>
                    <w:rPr>
                      <w:rFonts w:ascii="Cambria Math" w:hAnsi="Cambria Math" w:cstheme="majorBidi"/>
                      <w:sz w:val="24"/>
                      <w:szCs w:val="24"/>
                    </w:rPr>
                    <m:t>10</m:t>
                  </m:r>
                </m:sub>
              </m:sSub>
              <m:r>
                <m:rPr>
                  <m:sty m:val="p"/>
                </m:rPr>
                <w:rPr>
                  <w:rFonts w:ascii="Cambria Math" w:hAnsi="Cambria Math" w:cstheme="majorBidi"/>
                  <w:sz w:val="24"/>
                  <w:szCs w:val="24"/>
                </w:rPr>
                <m:t xml:space="preserve"> du matériau avant pilonnage</m:t>
              </m:r>
            </m:num>
            <m:den>
              <m:sSub>
                <m:sSubPr>
                  <m:ctrlPr>
                    <w:rPr>
                      <w:rFonts w:ascii="Cambria Math" w:hAnsi="Cambria Math" w:cstheme="majorBidi"/>
                      <w:spacing w:val="2"/>
                      <w:sz w:val="24"/>
                      <w:szCs w:val="24"/>
                      <w:vertAlign w:val="subscript"/>
                    </w:rPr>
                  </m:ctrlPr>
                </m:sSubPr>
                <m:e>
                  <m:r>
                    <m:rPr>
                      <m:sty m:val="p"/>
                    </m:rPr>
                    <w:rPr>
                      <w:rFonts w:ascii="Cambria Math" w:hAnsi="Cambria Math" w:cstheme="majorBidi"/>
                      <w:spacing w:val="2"/>
                      <w:sz w:val="24"/>
                      <w:szCs w:val="24"/>
                      <w:vertAlign w:val="subscript"/>
                    </w:rPr>
                    <m:t>D</m:t>
                  </m:r>
                </m:e>
                <m:sub>
                  <m:r>
                    <m:rPr>
                      <m:sty m:val="p"/>
                    </m:rPr>
                    <w:rPr>
                      <w:rFonts w:ascii="Cambria Math" w:hAnsi="Cambria Math" w:cstheme="majorBidi"/>
                      <w:spacing w:val="2"/>
                      <w:sz w:val="24"/>
                      <w:szCs w:val="24"/>
                      <w:vertAlign w:val="subscript"/>
                    </w:rPr>
                    <m:t>10</m:t>
                  </m:r>
                </m:sub>
              </m:sSub>
              <m:r>
                <m:rPr>
                  <m:sty m:val="p"/>
                </m:rPr>
                <w:rPr>
                  <w:rFonts w:ascii="Cambria Math" w:hAnsi="Cambria Math" w:cstheme="majorBidi"/>
                  <w:spacing w:val="2"/>
                  <w:sz w:val="24"/>
                  <w:szCs w:val="24"/>
                </w:rPr>
                <m:t xml:space="preserve"> du matériau après pilonnage</m:t>
              </m:r>
            </m:den>
          </m:f>
        </m:oMath>
      </m:oMathPara>
    </w:p>
    <w:p w:rsidR="00A963B6" w:rsidRPr="0068735C" w:rsidRDefault="00A963B6" w:rsidP="0039428F">
      <w:pPr>
        <w:spacing w:line="360" w:lineRule="auto"/>
        <w:ind w:firstLine="567"/>
        <w:jc w:val="both"/>
        <w:rPr>
          <w:rFonts w:asciiTheme="majorBidi" w:hAnsiTheme="majorBidi" w:cstheme="majorBidi"/>
          <w:spacing w:val="-3"/>
          <w:sz w:val="24"/>
          <w:szCs w:val="24"/>
        </w:rPr>
      </w:pPr>
      <w:r w:rsidRPr="0068735C">
        <w:rPr>
          <w:rFonts w:asciiTheme="majorBidi" w:hAnsiTheme="majorBidi" w:cstheme="majorBidi"/>
          <w:spacing w:val="-3"/>
          <w:sz w:val="24"/>
          <w:szCs w:val="24"/>
        </w:rPr>
        <w:t>Ce rapport est précisément le coefficient de fragmentabilité du matériau.</w:t>
      </w:r>
    </w:p>
    <w:p w:rsidR="00A963B6" w:rsidRPr="0068735C" w:rsidRDefault="00A963B6" w:rsidP="0039428F">
      <w:pPr>
        <w:autoSpaceDE w:val="0"/>
        <w:autoSpaceDN w:val="0"/>
        <w:adjustRightInd w:val="0"/>
        <w:spacing w:after="0" w:line="360" w:lineRule="auto"/>
        <w:rPr>
          <w:rFonts w:asciiTheme="majorBidi" w:hAnsiTheme="majorBidi" w:cstheme="majorBidi"/>
          <w:sz w:val="24"/>
          <w:szCs w:val="24"/>
        </w:rPr>
      </w:pPr>
      <w:r w:rsidRPr="0068735C">
        <w:rPr>
          <w:rFonts w:asciiTheme="majorBidi" w:hAnsiTheme="majorBidi" w:cstheme="majorBidi"/>
          <w:sz w:val="24"/>
          <w:szCs w:val="24"/>
        </w:rPr>
        <w:t>Seuil retenu FR = 7</w:t>
      </w:r>
    </w:p>
    <w:p w:rsidR="00A963B6" w:rsidRPr="0068735C" w:rsidRDefault="00755AA5" w:rsidP="0039428F">
      <w:pPr>
        <w:autoSpaceDE w:val="0"/>
        <w:autoSpaceDN w:val="0"/>
        <w:adjustRightInd w:val="0"/>
        <w:spacing w:after="0" w:line="360" w:lineRule="auto"/>
        <w:rPr>
          <w:rFonts w:asciiTheme="majorBidi" w:hAnsiTheme="majorBidi" w:cstheme="majorBidi"/>
          <w:sz w:val="24"/>
          <w:szCs w:val="24"/>
        </w:rPr>
      </w:pPr>
      <w:r w:rsidRPr="0068735C">
        <w:rPr>
          <w:rFonts w:asciiTheme="majorBidi" w:hAnsiTheme="majorBidi" w:cstheme="majorBidi"/>
          <w:sz w:val="24"/>
          <w:szCs w:val="24"/>
        </w:rPr>
        <w:t xml:space="preserve">Si </w:t>
      </w:r>
      <w:r w:rsidR="00A963B6" w:rsidRPr="0068735C">
        <w:rPr>
          <w:rFonts w:asciiTheme="majorBidi" w:hAnsiTheme="majorBidi" w:cstheme="majorBidi"/>
          <w:sz w:val="24"/>
          <w:szCs w:val="24"/>
        </w:rPr>
        <w:t xml:space="preserve">FR &lt; 7 : </w:t>
      </w:r>
      <w:r w:rsidRPr="0068735C">
        <w:rPr>
          <w:rFonts w:asciiTheme="majorBidi" w:hAnsiTheme="majorBidi" w:cstheme="majorBidi"/>
          <w:sz w:val="24"/>
          <w:szCs w:val="24"/>
        </w:rPr>
        <w:t>on dira que la roche est peu fragmentable</w:t>
      </w:r>
    </w:p>
    <w:p w:rsidR="00A963B6" w:rsidRPr="0068735C" w:rsidRDefault="00755AA5" w:rsidP="0039428F">
      <w:pPr>
        <w:spacing w:line="360" w:lineRule="auto"/>
        <w:rPr>
          <w:rFonts w:asciiTheme="majorBidi" w:hAnsiTheme="majorBidi" w:cstheme="majorBidi"/>
          <w:sz w:val="24"/>
          <w:szCs w:val="24"/>
        </w:rPr>
      </w:pPr>
      <w:r w:rsidRPr="0068735C">
        <w:rPr>
          <w:rFonts w:asciiTheme="majorBidi" w:hAnsiTheme="majorBidi" w:cstheme="majorBidi"/>
          <w:sz w:val="24"/>
          <w:szCs w:val="24"/>
        </w:rPr>
        <w:t xml:space="preserve">Si </w:t>
      </w:r>
      <w:r w:rsidR="00A963B6" w:rsidRPr="0068735C">
        <w:rPr>
          <w:rFonts w:asciiTheme="majorBidi" w:hAnsiTheme="majorBidi" w:cstheme="majorBidi"/>
          <w:sz w:val="24"/>
          <w:szCs w:val="24"/>
        </w:rPr>
        <w:t>FR &gt; 7 : roche fragmentable</w:t>
      </w:r>
      <w:r w:rsidR="00CD448E" w:rsidRPr="0068735C">
        <w:rPr>
          <w:rFonts w:asciiTheme="majorBidi" w:hAnsiTheme="majorBidi" w:cstheme="majorBidi"/>
          <w:sz w:val="24"/>
          <w:szCs w:val="24"/>
        </w:rPr>
        <w:t>.</w:t>
      </w:r>
    </w:p>
    <w:p w:rsidR="00A963B6" w:rsidRPr="0068735C" w:rsidRDefault="00A963B6" w:rsidP="0039428F">
      <w:pPr>
        <w:pStyle w:val="Titre4"/>
        <w:spacing w:before="0" w:line="360" w:lineRule="auto"/>
        <w:rPr>
          <w:color w:val="auto"/>
        </w:rPr>
      </w:pPr>
      <w:r w:rsidRPr="0068735C">
        <w:rPr>
          <w:color w:val="auto"/>
        </w:rPr>
        <w:t>Appareillage et matériel d'essai :</w:t>
      </w:r>
    </w:p>
    <w:p w:rsidR="00A963B6" w:rsidRPr="0068735C" w:rsidRDefault="006050AF" w:rsidP="0039428F">
      <w:pPr>
        <w:spacing w:line="360" w:lineRule="auto"/>
        <w:ind w:right="-1" w:firstLine="720"/>
        <w:jc w:val="both"/>
        <w:rPr>
          <w:rFonts w:asciiTheme="majorBidi" w:hAnsiTheme="majorBidi" w:cstheme="majorBidi"/>
          <w:spacing w:val="-4"/>
          <w:sz w:val="24"/>
          <w:szCs w:val="24"/>
        </w:rPr>
      </w:pPr>
      <w:r w:rsidRPr="0068735C">
        <w:rPr>
          <w:rFonts w:asciiTheme="majorBidi" w:hAnsiTheme="majorBidi" w:cstheme="majorBidi"/>
          <w:spacing w:val="-4"/>
          <w:sz w:val="24"/>
          <w:szCs w:val="24"/>
        </w:rPr>
        <w:t>On u</w:t>
      </w:r>
      <w:r w:rsidR="00A963B6" w:rsidRPr="0068735C">
        <w:rPr>
          <w:rFonts w:asciiTheme="majorBidi" w:hAnsiTheme="majorBidi" w:cstheme="majorBidi"/>
          <w:spacing w:val="-4"/>
          <w:sz w:val="24"/>
          <w:szCs w:val="24"/>
        </w:rPr>
        <w:t xml:space="preserve">tiliser le matériel spécifique à l'essai Proctor (norme NF P 94-093) </w:t>
      </w:r>
      <w:r w:rsidRPr="0068735C">
        <w:rPr>
          <w:rFonts w:asciiTheme="majorBidi" w:hAnsiTheme="majorBidi" w:cstheme="majorBidi"/>
          <w:spacing w:val="-4"/>
          <w:sz w:val="24"/>
          <w:szCs w:val="24"/>
        </w:rPr>
        <w:t>qui est énuméré ci-dessous</w:t>
      </w:r>
      <w:r w:rsidR="00A963B6" w:rsidRPr="0068735C">
        <w:rPr>
          <w:rFonts w:asciiTheme="majorBidi" w:hAnsiTheme="majorBidi" w:cstheme="majorBidi"/>
          <w:spacing w:val="-4"/>
          <w:sz w:val="24"/>
          <w:szCs w:val="24"/>
        </w:rPr>
        <w:t xml:space="preserve"> : </w:t>
      </w:r>
    </w:p>
    <w:p w:rsidR="00A963B6" w:rsidRPr="0068735C" w:rsidRDefault="00A963B6" w:rsidP="0039428F">
      <w:pPr>
        <w:pStyle w:val="Paragraphedeliste"/>
        <w:numPr>
          <w:ilvl w:val="0"/>
          <w:numId w:val="2"/>
        </w:numPr>
        <w:spacing w:line="360" w:lineRule="auto"/>
        <w:ind w:right="-1"/>
        <w:jc w:val="both"/>
        <w:rPr>
          <w:rFonts w:asciiTheme="majorBidi" w:hAnsiTheme="majorBidi" w:cstheme="majorBidi"/>
          <w:spacing w:val="-4"/>
          <w:sz w:val="24"/>
          <w:szCs w:val="24"/>
        </w:rPr>
      </w:pPr>
      <w:r w:rsidRPr="0068735C">
        <w:rPr>
          <w:rFonts w:asciiTheme="majorBidi" w:hAnsiTheme="majorBidi" w:cstheme="majorBidi"/>
          <w:sz w:val="24"/>
          <w:szCs w:val="24"/>
        </w:rPr>
        <w:t>le moule CBR,</w:t>
      </w:r>
    </w:p>
    <w:p w:rsidR="00A963B6" w:rsidRPr="0068735C" w:rsidRDefault="00A963B6" w:rsidP="0039428F">
      <w:pPr>
        <w:pStyle w:val="Paragraphedeliste"/>
        <w:numPr>
          <w:ilvl w:val="0"/>
          <w:numId w:val="2"/>
        </w:numPr>
        <w:spacing w:line="360" w:lineRule="auto"/>
        <w:jc w:val="both"/>
        <w:rPr>
          <w:rFonts w:asciiTheme="majorBidi" w:hAnsiTheme="majorBidi" w:cstheme="majorBidi"/>
          <w:sz w:val="24"/>
          <w:szCs w:val="24"/>
        </w:rPr>
      </w:pPr>
      <w:r w:rsidRPr="0068735C">
        <w:rPr>
          <w:rFonts w:asciiTheme="majorBidi" w:hAnsiTheme="majorBidi" w:cstheme="majorBidi"/>
          <w:sz w:val="24"/>
          <w:szCs w:val="24"/>
        </w:rPr>
        <w:t>la dame Proctor Normal,</w:t>
      </w:r>
    </w:p>
    <w:p w:rsidR="00A963B6" w:rsidRPr="0068735C" w:rsidRDefault="00A963B6" w:rsidP="0039428F">
      <w:pPr>
        <w:pStyle w:val="Paragraphedeliste"/>
        <w:numPr>
          <w:ilvl w:val="0"/>
          <w:numId w:val="2"/>
        </w:numPr>
        <w:spacing w:line="360" w:lineRule="auto"/>
        <w:jc w:val="both"/>
        <w:rPr>
          <w:rFonts w:asciiTheme="majorBidi" w:hAnsiTheme="majorBidi" w:cstheme="majorBidi"/>
          <w:sz w:val="24"/>
          <w:szCs w:val="24"/>
        </w:rPr>
      </w:pPr>
      <w:r w:rsidRPr="0068735C">
        <w:rPr>
          <w:rFonts w:asciiTheme="majorBidi" w:hAnsiTheme="majorBidi" w:cstheme="majorBidi"/>
          <w:sz w:val="24"/>
          <w:szCs w:val="24"/>
        </w:rPr>
        <w:lastRenderedPageBreak/>
        <w:t>le massif de réaction.</w:t>
      </w:r>
    </w:p>
    <w:p w:rsidR="00A963B6" w:rsidRPr="0068735C" w:rsidRDefault="00A963B6" w:rsidP="0039428F">
      <w:pPr>
        <w:pStyle w:val="Paragraphedeliste"/>
        <w:numPr>
          <w:ilvl w:val="0"/>
          <w:numId w:val="2"/>
        </w:numPr>
        <w:spacing w:line="360" w:lineRule="auto"/>
        <w:ind w:right="-1"/>
        <w:jc w:val="both"/>
        <w:rPr>
          <w:rFonts w:asciiTheme="majorBidi" w:hAnsiTheme="majorBidi" w:cstheme="majorBidi"/>
          <w:spacing w:val="-5"/>
          <w:sz w:val="24"/>
          <w:szCs w:val="24"/>
        </w:rPr>
      </w:pPr>
      <w:r w:rsidRPr="0068735C">
        <w:rPr>
          <w:rFonts w:asciiTheme="majorBidi" w:hAnsiTheme="majorBidi" w:cstheme="majorBidi"/>
          <w:spacing w:val="-5"/>
          <w:sz w:val="24"/>
          <w:szCs w:val="24"/>
        </w:rPr>
        <w:t xml:space="preserve">Une colonne de tamis de mailles : </w:t>
      </w:r>
    </w:p>
    <w:p w:rsidR="00A963B6" w:rsidRPr="0068735C" w:rsidRDefault="00A963B6" w:rsidP="0039428F">
      <w:pPr>
        <w:pStyle w:val="Paragraphedeliste"/>
        <w:spacing w:line="360" w:lineRule="auto"/>
        <w:ind w:right="-1"/>
        <w:jc w:val="both"/>
        <w:rPr>
          <w:rFonts w:asciiTheme="majorBidi" w:hAnsiTheme="majorBidi" w:cstheme="majorBidi"/>
          <w:spacing w:val="-5"/>
          <w:sz w:val="24"/>
          <w:szCs w:val="24"/>
        </w:rPr>
      </w:pPr>
      <w:r w:rsidRPr="0068735C">
        <w:rPr>
          <w:rFonts w:asciiTheme="majorBidi" w:hAnsiTheme="majorBidi" w:cstheme="majorBidi"/>
          <w:spacing w:val="-5"/>
          <w:sz w:val="24"/>
          <w:szCs w:val="24"/>
        </w:rPr>
        <w:t xml:space="preserve">1, 2, 4,5, 8,10, 12.5, 16 et 20 mm. </w:t>
      </w:r>
    </w:p>
    <w:p w:rsidR="00846908" w:rsidRPr="0068735C" w:rsidRDefault="00E371BB" w:rsidP="00DA1ED5">
      <w:pPr>
        <w:pStyle w:val="Paragraphedeliste"/>
        <w:numPr>
          <w:ilvl w:val="0"/>
          <w:numId w:val="2"/>
        </w:numPr>
        <w:spacing w:line="360" w:lineRule="auto"/>
        <w:ind w:right="-1"/>
        <w:jc w:val="both"/>
        <w:rPr>
          <w:rFonts w:asciiTheme="majorBidi" w:hAnsiTheme="majorBidi" w:cstheme="majorBidi"/>
          <w:spacing w:val="-4"/>
          <w:sz w:val="24"/>
          <w:szCs w:val="24"/>
        </w:rPr>
      </w:pPr>
      <w:r w:rsidRPr="0068735C">
        <w:rPr>
          <w:rFonts w:asciiTheme="majorBidi" w:hAnsiTheme="majorBidi" w:cstheme="majorBidi"/>
          <w:noProof/>
          <w:spacing w:val="-4"/>
          <w:sz w:val="24"/>
          <w:szCs w:val="24"/>
          <w:lang w:eastAsia="fr-FR"/>
        </w:rPr>
        <w:drawing>
          <wp:anchor distT="0" distB="0" distL="114300" distR="114300" simplePos="0" relativeHeight="251660288" behindDoc="0" locked="0" layoutInCell="1" allowOverlap="1">
            <wp:simplePos x="0" y="0"/>
            <wp:positionH relativeFrom="column">
              <wp:posOffset>-252095</wp:posOffset>
            </wp:positionH>
            <wp:positionV relativeFrom="paragraph">
              <wp:posOffset>652145</wp:posOffset>
            </wp:positionV>
            <wp:extent cx="6505575" cy="4105275"/>
            <wp:effectExtent l="19050" t="0" r="9525" b="0"/>
            <wp:wrapSquare wrapText="bothSides"/>
            <wp:docPr id="78" name="Ima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62154_335621086502459_138707159527187_940296_306693969_n.jpg"/>
                    <pic:cNvPicPr/>
                  </pic:nvPicPr>
                  <pic:blipFill>
                    <a:blip r:embed="rId13"/>
                    <a:stretch>
                      <a:fillRect/>
                    </a:stretch>
                  </pic:blipFill>
                  <pic:spPr>
                    <a:xfrm>
                      <a:off x="0" y="0"/>
                      <a:ext cx="6505575" cy="4105275"/>
                    </a:xfrm>
                    <a:prstGeom prst="rect">
                      <a:avLst/>
                    </a:prstGeom>
                  </pic:spPr>
                </pic:pic>
              </a:graphicData>
            </a:graphic>
          </wp:anchor>
        </w:drawing>
      </w:r>
      <w:r w:rsidR="00A963B6" w:rsidRPr="0068735C">
        <w:rPr>
          <w:rFonts w:asciiTheme="majorBidi" w:hAnsiTheme="majorBidi" w:cstheme="majorBidi"/>
          <w:spacing w:val="-4"/>
          <w:sz w:val="24"/>
          <w:szCs w:val="24"/>
        </w:rPr>
        <w:t>Une balance : portée 3 000 g, précision ± 1 g.</w:t>
      </w:r>
    </w:p>
    <w:p w:rsidR="00A963B6" w:rsidRPr="0068735C" w:rsidRDefault="00A963B6" w:rsidP="0039428F">
      <w:pPr>
        <w:spacing w:line="360" w:lineRule="auto"/>
        <w:ind w:firstLine="567"/>
        <w:rPr>
          <w:rFonts w:ascii="Times New Roman" w:hAnsi="Times New Roman" w:cs="Times New Roman"/>
          <w:b/>
        </w:rPr>
      </w:pPr>
      <w:r w:rsidRPr="0068735C">
        <w:rPr>
          <w:rFonts w:ascii="Times New Roman" w:hAnsi="Times New Roman" w:cs="Times New Roman"/>
          <w:b/>
        </w:rPr>
        <w:t xml:space="preserve">Figure II.5 : </w:t>
      </w:r>
      <w:r w:rsidR="00D4014D" w:rsidRPr="0068735C">
        <w:rPr>
          <w:rFonts w:ascii="Times New Roman" w:hAnsi="Times New Roman" w:cs="Times New Roman"/>
          <w:b/>
        </w:rPr>
        <w:t>S</w:t>
      </w:r>
      <w:r w:rsidRPr="0068735C">
        <w:rPr>
          <w:rFonts w:ascii="Times New Roman" w:hAnsi="Times New Roman" w:cs="Times New Roman"/>
          <w:b/>
        </w:rPr>
        <w:t>chéma synoptique d</w:t>
      </w:r>
      <w:r w:rsidR="00D4014D" w:rsidRPr="0068735C">
        <w:rPr>
          <w:rFonts w:ascii="Times New Roman" w:hAnsi="Times New Roman" w:cs="Times New Roman"/>
          <w:b/>
        </w:rPr>
        <w:t>u</w:t>
      </w:r>
      <w:r w:rsidR="00D26D7C">
        <w:rPr>
          <w:rFonts w:ascii="Times New Roman" w:hAnsi="Times New Roman" w:cs="Times New Roman"/>
          <w:b/>
        </w:rPr>
        <w:t xml:space="preserve"> </w:t>
      </w:r>
      <w:r w:rsidRPr="0068735C">
        <w:rPr>
          <w:rFonts w:ascii="Times New Roman" w:hAnsi="Times New Roman" w:cs="Times New Roman"/>
          <w:b/>
          <w:sz w:val="24"/>
          <w:szCs w:val="24"/>
        </w:rPr>
        <w:t>processus</w:t>
      </w:r>
      <w:r w:rsidRPr="0068735C">
        <w:rPr>
          <w:rFonts w:ascii="Times New Roman" w:hAnsi="Times New Roman" w:cs="Times New Roman"/>
          <w:b/>
        </w:rPr>
        <w:t xml:space="preserve"> opératoire de l’essai de fragmentabilité.</w:t>
      </w:r>
    </w:p>
    <w:p w:rsidR="00E371BB" w:rsidRPr="0068735C" w:rsidRDefault="00E371BB" w:rsidP="0039428F">
      <w:pPr>
        <w:spacing w:line="360" w:lineRule="auto"/>
        <w:ind w:firstLine="567"/>
        <w:rPr>
          <w:rFonts w:ascii="Times New Roman" w:hAnsi="Times New Roman" w:cs="Times New Roman"/>
          <w:b/>
        </w:rPr>
      </w:pPr>
    </w:p>
    <w:p w:rsidR="00A963B6" w:rsidRPr="0068735C" w:rsidRDefault="00A963B6" w:rsidP="0039428F">
      <w:pPr>
        <w:pStyle w:val="Titre3"/>
        <w:spacing w:before="0" w:line="360" w:lineRule="auto"/>
        <w:rPr>
          <w:rFonts w:ascii="Times New Roman" w:hAnsi="Times New Roman" w:cs="Times New Roman"/>
          <w:color w:val="auto"/>
          <w:spacing w:val="-12"/>
          <w:sz w:val="24"/>
          <w:szCs w:val="24"/>
        </w:rPr>
      </w:pPr>
      <w:bookmarkStart w:id="16" w:name="_Toc326838027"/>
      <w:r w:rsidRPr="0068735C">
        <w:rPr>
          <w:rFonts w:ascii="Times New Roman" w:hAnsi="Times New Roman" w:cs="Times New Roman"/>
          <w:color w:val="auto"/>
          <w:sz w:val="24"/>
          <w:szCs w:val="24"/>
          <w:lang w:eastAsia="en-US" w:bidi="en-US"/>
        </w:rPr>
        <w:t xml:space="preserve">II.2.1.8 </w:t>
      </w:r>
      <w:r w:rsidRPr="0068735C">
        <w:rPr>
          <w:rFonts w:ascii="Times New Roman" w:hAnsi="Times New Roman" w:cs="Times New Roman"/>
          <w:color w:val="auto"/>
          <w:sz w:val="24"/>
          <w:szCs w:val="24"/>
        </w:rPr>
        <w:t>Coefficient de dégradabilité </w:t>
      </w:r>
      <w:r w:rsidRPr="0068735C">
        <w:rPr>
          <w:rFonts w:ascii="Times New Roman" w:hAnsi="Times New Roman" w:cs="Times New Roman"/>
          <w:color w:val="auto"/>
          <w:spacing w:val="-6"/>
          <w:sz w:val="24"/>
          <w:szCs w:val="24"/>
        </w:rPr>
        <w:t>des matériaux rocheux</w:t>
      </w:r>
      <w:bookmarkStart w:id="17" w:name="_GoBack"/>
      <w:bookmarkEnd w:id="17"/>
      <w:r w:rsidR="00D26D7C">
        <w:rPr>
          <w:rFonts w:ascii="Times New Roman" w:hAnsi="Times New Roman" w:cs="Times New Roman"/>
          <w:color w:val="auto"/>
          <w:spacing w:val="-6"/>
          <w:sz w:val="24"/>
          <w:szCs w:val="24"/>
        </w:rPr>
        <w:t xml:space="preserve"> </w:t>
      </w:r>
      <w:r w:rsidRPr="0068735C">
        <w:rPr>
          <w:rFonts w:ascii="Times New Roman" w:hAnsi="Times New Roman" w:cs="Times New Roman"/>
          <w:color w:val="auto"/>
          <w:spacing w:val="-16"/>
          <w:sz w:val="24"/>
          <w:szCs w:val="24"/>
        </w:rPr>
        <w:t>(NF P 94-067) :</w:t>
      </w:r>
      <w:bookmarkEnd w:id="16"/>
    </w:p>
    <w:p w:rsidR="008C3F54" w:rsidRPr="0068735C" w:rsidRDefault="00A963B6" w:rsidP="008C3F54">
      <w:pPr>
        <w:spacing w:line="360" w:lineRule="auto"/>
        <w:ind w:firstLine="567"/>
        <w:jc w:val="both"/>
        <w:rPr>
          <w:rFonts w:asciiTheme="majorBidi" w:hAnsiTheme="majorBidi" w:cstheme="majorBidi"/>
          <w:spacing w:val="6"/>
          <w:sz w:val="24"/>
          <w:szCs w:val="24"/>
        </w:rPr>
      </w:pPr>
      <w:r w:rsidRPr="0068735C">
        <w:rPr>
          <w:rFonts w:asciiTheme="majorBidi" w:hAnsiTheme="majorBidi" w:cstheme="majorBidi"/>
          <w:spacing w:val="4"/>
          <w:sz w:val="24"/>
          <w:szCs w:val="24"/>
        </w:rPr>
        <w:t xml:space="preserve">Le coefficient de dégradabilité est un paramètre représentatif du comportement de certains matériaux </w:t>
      </w:r>
      <w:r w:rsidRPr="0068735C">
        <w:rPr>
          <w:rFonts w:asciiTheme="majorBidi" w:hAnsiTheme="majorBidi" w:cstheme="majorBidi"/>
          <w:spacing w:val="6"/>
          <w:sz w:val="24"/>
          <w:szCs w:val="24"/>
        </w:rPr>
        <w:t xml:space="preserve">rocheux se traduisant par une évolution continue de leurs caractéristiques géotechniques (granularité, argilosité, plasticité,...) par rapport à celles observées immédiatement après leur extraction. Cette </w:t>
      </w:r>
      <w:r w:rsidR="00DA1ED5" w:rsidRPr="0068735C">
        <w:rPr>
          <w:rFonts w:asciiTheme="majorBidi" w:hAnsiTheme="majorBidi" w:cstheme="majorBidi"/>
          <w:spacing w:val="6"/>
          <w:sz w:val="24"/>
          <w:szCs w:val="24"/>
        </w:rPr>
        <w:t>évolut</w:t>
      </w:r>
      <w:r w:rsidR="00DA1ED5" w:rsidRPr="0068735C">
        <w:rPr>
          <w:rFonts w:asciiTheme="majorBidi" w:hAnsiTheme="majorBidi" w:cstheme="majorBidi"/>
          <w:spacing w:val="8"/>
          <w:sz w:val="24"/>
          <w:szCs w:val="24"/>
        </w:rPr>
        <w:t>ion</w:t>
      </w:r>
      <w:r w:rsidRPr="0068735C">
        <w:rPr>
          <w:rFonts w:asciiTheme="majorBidi" w:hAnsiTheme="majorBidi" w:cstheme="majorBidi"/>
          <w:spacing w:val="8"/>
          <w:sz w:val="24"/>
          <w:szCs w:val="24"/>
        </w:rPr>
        <w:t xml:space="preserve"> est imputable à l'action combinée des agents climatiques ou hydrogéologiques (gel, cycles </w:t>
      </w:r>
      <w:r w:rsidR="00DA1ED5" w:rsidRPr="0068735C">
        <w:rPr>
          <w:rFonts w:asciiTheme="majorBidi" w:hAnsiTheme="majorBidi" w:cstheme="majorBidi"/>
          <w:spacing w:val="8"/>
          <w:sz w:val="24"/>
          <w:szCs w:val="24"/>
        </w:rPr>
        <w:t>imbibition</w:t>
      </w:r>
      <w:r w:rsidRPr="0068735C">
        <w:rPr>
          <w:rFonts w:asciiTheme="majorBidi" w:hAnsiTheme="majorBidi" w:cstheme="majorBidi"/>
          <w:spacing w:val="8"/>
          <w:sz w:val="24"/>
          <w:szCs w:val="24"/>
        </w:rPr>
        <w:t xml:space="preserve">-séchage) et des contraintes mécaniques subies. Elle conduit dans le cas des matériaux rocheux </w:t>
      </w:r>
      <w:r w:rsidRPr="0068735C">
        <w:rPr>
          <w:rFonts w:asciiTheme="majorBidi" w:hAnsiTheme="majorBidi" w:cstheme="majorBidi"/>
          <w:spacing w:val="6"/>
          <w:sz w:val="24"/>
          <w:szCs w:val="24"/>
        </w:rPr>
        <w:t xml:space="preserve">considérés comme dégradables à une réduction plus ou moins importante et </w:t>
      </w:r>
    </w:p>
    <w:p w:rsidR="008C3F54" w:rsidRPr="0068735C" w:rsidRDefault="008C3F54" w:rsidP="008C3F54">
      <w:pPr>
        <w:spacing w:line="360" w:lineRule="auto"/>
        <w:ind w:firstLine="567"/>
        <w:jc w:val="both"/>
        <w:rPr>
          <w:rFonts w:asciiTheme="majorBidi" w:hAnsiTheme="majorBidi" w:cstheme="majorBidi"/>
          <w:spacing w:val="6"/>
          <w:sz w:val="24"/>
          <w:szCs w:val="24"/>
        </w:rPr>
      </w:pPr>
    </w:p>
    <w:p w:rsidR="008C3F54" w:rsidRPr="0068735C" w:rsidRDefault="008C3F54" w:rsidP="008C3F54">
      <w:pPr>
        <w:spacing w:line="360" w:lineRule="auto"/>
        <w:jc w:val="both"/>
        <w:rPr>
          <w:rFonts w:asciiTheme="majorBidi" w:hAnsiTheme="majorBidi" w:cstheme="majorBidi"/>
          <w:spacing w:val="6"/>
          <w:sz w:val="24"/>
          <w:szCs w:val="24"/>
        </w:rPr>
      </w:pPr>
    </w:p>
    <w:p w:rsidR="00162366" w:rsidRPr="0068735C" w:rsidRDefault="00A963B6" w:rsidP="008C3F54">
      <w:pPr>
        <w:spacing w:line="360" w:lineRule="auto"/>
        <w:jc w:val="both"/>
        <w:rPr>
          <w:rFonts w:asciiTheme="majorBidi" w:hAnsiTheme="majorBidi" w:cstheme="majorBidi"/>
          <w:spacing w:val="6"/>
          <w:sz w:val="24"/>
          <w:szCs w:val="24"/>
        </w:rPr>
      </w:pPr>
      <w:proofErr w:type="gramStart"/>
      <w:r w:rsidRPr="0068735C">
        <w:rPr>
          <w:rFonts w:asciiTheme="majorBidi" w:hAnsiTheme="majorBidi" w:cstheme="majorBidi"/>
          <w:spacing w:val="6"/>
          <w:sz w:val="24"/>
          <w:szCs w:val="24"/>
        </w:rPr>
        <w:t>interrompue</w:t>
      </w:r>
      <w:proofErr w:type="gramEnd"/>
      <w:r w:rsidRPr="0068735C">
        <w:rPr>
          <w:rFonts w:asciiTheme="majorBidi" w:hAnsiTheme="majorBidi" w:cstheme="majorBidi"/>
          <w:spacing w:val="6"/>
          <w:sz w:val="24"/>
          <w:szCs w:val="24"/>
        </w:rPr>
        <w:t xml:space="preserve"> des caract</w:t>
      </w:r>
      <w:r w:rsidRPr="0068735C">
        <w:rPr>
          <w:rFonts w:asciiTheme="majorBidi" w:hAnsiTheme="majorBidi" w:cstheme="majorBidi"/>
          <w:spacing w:val="8"/>
          <w:sz w:val="24"/>
          <w:szCs w:val="24"/>
        </w:rPr>
        <w:t>éristiques mécaniques et géométriques des ouvrages dans lesquels ils sont utilisés.</w:t>
      </w:r>
    </w:p>
    <w:p w:rsidR="00A963B6" w:rsidRPr="0068735C" w:rsidRDefault="00A963B6" w:rsidP="00D4014D">
      <w:pPr>
        <w:spacing w:line="360" w:lineRule="auto"/>
        <w:ind w:firstLine="567"/>
        <w:jc w:val="both"/>
        <w:rPr>
          <w:rFonts w:asciiTheme="majorBidi" w:hAnsiTheme="majorBidi" w:cstheme="majorBidi"/>
          <w:spacing w:val="8"/>
          <w:sz w:val="24"/>
          <w:szCs w:val="24"/>
        </w:rPr>
      </w:pPr>
      <w:r w:rsidRPr="0068735C">
        <w:rPr>
          <w:rFonts w:asciiTheme="majorBidi" w:hAnsiTheme="majorBidi" w:cstheme="majorBidi"/>
          <w:spacing w:val="7"/>
          <w:sz w:val="24"/>
          <w:szCs w:val="24"/>
        </w:rPr>
        <w:t xml:space="preserve">Le coefficient de dégradabilité est un des paramètres d'identification retenu dans la classification des </w:t>
      </w:r>
      <w:r w:rsidRPr="0068735C">
        <w:rPr>
          <w:rFonts w:asciiTheme="majorBidi" w:hAnsiTheme="majorBidi" w:cstheme="majorBidi"/>
          <w:spacing w:val="8"/>
          <w:sz w:val="24"/>
          <w:szCs w:val="24"/>
        </w:rPr>
        <w:t>matériaux utilisables dans la construction des remblais et des couches de forme d'infrastructures rout</w:t>
      </w:r>
      <w:r w:rsidRPr="0068735C">
        <w:rPr>
          <w:rFonts w:asciiTheme="majorBidi" w:hAnsiTheme="majorBidi" w:cstheme="majorBidi"/>
          <w:sz w:val="24"/>
          <w:szCs w:val="24"/>
        </w:rPr>
        <w:t>ières (norme NF P 11-300).</w:t>
      </w:r>
    </w:p>
    <w:p w:rsidR="00A963B6" w:rsidRPr="0068735C" w:rsidRDefault="00A963B6" w:rsidP="00D4014D">
      <w:pPr>
        <w:spacing w:line="360" w:lineRule="auto"/>
        <w:ind w:firstLine="567"/>
        <w:jc w:val="both"/>
        <w:rPr>
          <w:rFonts w:asciiTheme="majorBidi" w:hAnsiTheme="majorBidi" w:cstheme="majorBidi"/>
          <w:sz w:val="24"/>
          <w:szCs w:val="24"/>
        </w:rPr>
      </w:pPr>
      <w:r w:rsidRPr="0068735C">
        <w:rPr>
          <w:rFonts w:asciiTheme="majorBidi" w:hAnsiTheme="majorBidi" w:cstheme="majorBidi"/>
          <w:spacing w:val="-3"/>
          <w:sz w:val="24"/>
          <w:szCs w:val="24"/>
        </w:rPr>
        <w:t>L'essai consiste à déterminer la réduction du D</w:t>
      </w:r>
      <w:r w:rsidRPr="0068735C">
        <w:rPr>
          <w:rFonts w:asciiTheme="majorBidi" w:hAnsiTheme="majorBidi" w:cstheme="majorBidi"/>
          <w:spacing w:val="-3"/>
          <w:sz w:val="24"/>
          <w:szCs w:val="24"/>
          <w:vertAlign w:val="subscript"/>
        </w:rPr>
        <w:t>10</w:t>
      </w:r>
      <w:r w:rsidRPr="0068735C">
        <w:rPr>
          <w:rFonts w:asciiTheme="majorBidi" w:hAnsiTheme="majorBidi" w:cstheme="majorBidi"/>
          <w:spacing w:val="-3"/>
          <w:sz w:val="24"/>
          <w:szCs w:val="24"/>
        </w:rPr>
        <w:t xml:space="preserve"> d'un échantillon de granularité d/D donnée soumis à </w:t>
      </w:r>
      <w:r w:rsidRPr="0068735C">
        <w:rPr>
          <w:rFonts w:asciiTheme="majorBidi" w:hAnsiTheme="majorBidi" w:cstheme="majorBidi"/>
          <w:spacing w:val="-4"/>
          <w:sz w:val="24"/>
          <w:szCs w:val="24"/>
        </w:rPr>
        <w:t>quatre cycles imbibition-séchage conventionnels.</w:t>
      </w:r>
    </w:p>
    <w:p w:rsidR="00A963B6" w:rsidRPr="0068735C" w:rsidRDefault="00A963B6" w:rsidP="0039428F">
      <w:pPr>
        <w:spacing w:after="108" w:line="360" w:lineRule="auto"/>
        <w:ind w:firstLine="567"/>
        <w:rPr>
          <w:rFonts w:ascii="Cambria Math" w:eastAsiaTheme="minorEastAsia" w:hAnsi="Cambria Math" w:cstheme="majorBidi"/>
          <w:spacing w:val="-3"/>
        </w:rPr>
      </w:pPr>
      <w:r w:rsidRPr="0068735C">
        <w:rPr>
          <w:rFonts w:asciiTheme="majorBidi" w:hAnsiTheme="majorBidi" w:cstheme="majorBidi"/>
          <w:spacing w:val="-3"/>
          <w:sz w:val="24"/>
          <w:szCs w:val="24"/>
        </w:rPr>
        <w:t>Cette réduction s'exprime par le rapport :</w:t>
      </w:r>
      <w:r w:rsidRPr="0068735C">
        <w:rPr>
          <w:rFonts w:ascii="Cambria Math" w:hAnsi="Cambria Math" w:cstheme="majorBidi"/>
          <w:spacing w:val="-3"/>
        </w:rPr>
        <w:br/>
      </w:r>
      <m:oMathPara>
        <m:oMath>
          <m:r>
            <w:rPr>
              <w:rFonts w:ascii="Cambria Math" w:hAnsi="Cambria Math" w:cstheme="majorBidi"/>
              <w:spacing w:val="-3"/>
              <w:sz w:val="24"/>
              <w:szCs w:val="24"/>
            </w:rPr>
            <m:t xml:space="preserve">DG= </m:t>
          </m:r>
          <m:f>
            <m:fPr>
              <m:ctrlPr>
                <w:rPr>
                  <w:rFonts w:ascii="Cambria Math" w:hAnsi="Cambria Math" w:cstheme="majorBidi"/>
                  <w:i/>
                  <w:spacing w:val="-3"/>
                  <w:sz w:val="24"/>
                  <w:szCs w:val="24"/>
                </w:rPr>
              </m:ctrlPr>
            </m:fPr>
            <m:num>
              <m:sSub>
                <m:sSubPr>
                  <m:ctrlPr>
                    <w:rPr>
                      <w:rFonts w:ascii="Cambria Math" w:hAnsi="Cambria Math" w:cstheme="majorBidi"/>
                      <w:sz w:val="24"/>
                      <w:szCs w:val="24"/>
                    </w:rPr>
                  </m:ctrlPr>
                </m:sSubPr>
                <m:e>
                  <m:r>
                    <m:rPr>
                      <m:sty m:val="p"/>
                    </m:rPr>
                    <w:rPr>
                      <w:rFonts w:ascii="Cambria Math" w:hAnsi="Cambria Math" w:cstheme="majorBidi"/>
                      <w:sz w:val="24"/>
                      <w:szCs w:val="24"/>
                    </w:rPr>
                    <m:t>D</m:t>
                  </m:r>
                </m:e>
                <m:sub>
                  <m:r>
                    <m:rPr>
                      <m:sty m:val="p"/>
                    </m:rPr>
                    <w:rPr>
                      <w:rFonts w:ascii="Cambria Math" w:hAnsi="Cambria Math" w:cstheme="majorBidi"/>
                      <w:sz w:val="24"/>
                      <w:szCs w:val="24"/>
                    </w:rPr>
                    <m:t>10</m:t>
                  </m:r>
                </m:sub>
              </m:sSub>
              <m:r>
                <m:rPr>
                  <m:sty m:val="p"/>
                </m:rPr>
                <w:rPr>
                  <w:rFonts w:ascii="Cambria Math" w:hAnsi="Cambria Math" w:cstheme="majorBidi"/>
                  <w:sz w:val="24"/>
                  <w:szCs w:val="24"/>
                </w:rPr>
                <m:t xml:space="preserve"> du matériau avant le </m:t>
              </m:r>
              <m:sSup>
                <m:sSupPr>
                  <m:ctrlPr>
                    <w:rPr>
                      <w:rFonts w:ascii="Cambria Math" w:hAnsi="Cambria Math" w:cstheme="majorBidi"/>
                      <w:w w:val="105"/>
                      <w:sz w:val="24"/>
                      <w:szCs w:val="24"/>
                      <w:vertAlign w:val="superscript"/>
                    </w:rPr>
                  </m:ctrlPr>
                </m:sSupPr>
                <m:e>
                  <m:r>
                    <m:rPr>
                      <m:sty m:val="p"/>
                    </m:rPr>
                    <w:rPr>
                      <w:rFonts w:ascii="Cambria Math" w:hAnsi="Cambria Math" w:cstheme="majorBidi"/>
                      <w:w w:val="105"/>
                      <w:sz w:val="24"/>
                      <w:szCs w:val="24"/>
                      <w:vertAlign w:val="superscript"/>
                    </w:rPr>
                    <m:t>1</m:t>
                  </m:r>
                </m:e>
                <m:sup>
                  <m:r>
                    <m:rPr>
                      <m:sty m:val="p"/>
                    </m:rPr>
                    <w:rPr>
                      <w:rFonts w:ascii="Cambria Math" w:hAnsi="Cambria Math" w:cstheme="majorBidi"/>
                      <w:w w:val="105"/>
                      <w:sz w:val="24"/>
                      <w:szCs w:val="24"/>
                      <w:vertAlign w:val="superscript"/>
                    </w:rPr>
                    <m:t>er</m:t>
                  </m:r>
                </m:sup>
              </m:sSup>
              <m:r>
                <m:rPr>
                  <m:sty m:val="p"/>
                </m:rPr>
                <w:rPr>
                  <w:rFonts w:ascii="Cambria Math" w:hAnsi="Cambria Math" w:cstheme="majorBidi"/>
                  <w:sz w:val="24"/>
                  <w:szCs w:val="24"/>
                </w:rPr>
                <m:t xml:space="preserve"> cycle d</m:t>
              </m:r>
              <m:r>
                <m:rPr>
                  <m:sty m:val="p"/>
                </m:rPr>
                <w:rPr>
                  <w:rFonts w:ascii="Times New Roman" w:hAnsi="Times New Roman" w:cs="Times New Roman"/>
                  <w:sz w:val="24"/>
                  <w:szCs w:val="24"/>
                </w:rPr>
                <m:t>'</m:t>
              </m:r>
              <m:r>
                <m:rPr>
                  <m:sty m:val="p"/>
                </m:rPr>
                <w:rPr>
                  <w:rFonts w:ascii="Cambria Math" w:hAnsi="Cambria Math" w:cstheme="majorBidi"/>
                  <w:sz w:val="24"/>
                  <w:szCs w:val="24"/>
                </w:rPr>
                <m:t>imbibition-séchage</m:t>
              </m:r>
              <m:ctrlPr>
                <w:rPr>
                  <w:rFonts w:ascii="Cambria Math" w:hAnsi="Cambria Math" w:cstheme="majorBidi"/>
                  <w:sz w:val="24"/>
                  <w:szCs w:val="24"/>
                </w:rPr>
              </m:ctrlPr>
            </m:num>
            <m:den>
              <m:sSub>
                <m:sSubPr>
                  <m:ctrlPr>
                    <w:rPr>
                      <w:rFonts w:ascii="Cambria Math" w:hAnsi="Cambria Math" w:cstheme="majorBidi"/>
                      <w:sz w:val="24"/>
                      <w:szCs w:val="24"/>
                    </w:rPr>
                  </m:ctrlPr>
                </m:sSubPr>
                <m:e>
                  <m:r>
                    <m:rPr>
                      <m:sty m:val="p"/>
                    </m:rPr>
                    <w:rPr>
                      <w:rFonts w:ascii="Cambria Math" w:hAnsi="Cambria Math" w:cstheme="majorBidi"/>
                      <w:sz w:val="24"/>
                      <w:szCs w:val="24"/>
                    </w:rPr>
                    <m:t>D</m:t>
                  </m:r>
                </m:e>
                <m:sub>
                  <m:r>
                    <m:rPr>
                      <m:sty m:val="p"/>
                    </m:rPr>
                    <w:rPr>
                      <w:rFonts w:ascii="Cambria Math" w:hAnsi="Cambria Math" w:cstheme="majorBidi"/>
                      <w:sz w:val="24"/>
                      <w:szCs w:val="24"/>
                    </w:rPr>
                    <m:t>10</m:t>
                  </m:r>
                </m:sub>
              </m:sSub>
              <m:r>
                <m:rPr>
                  <m:sty m:val="p"/>
                </m:rPr>
                <w:rPr>
                  <w:rFonts w:ascii="Cambria Math" w:hAnsi="Cambria Math" w:cstheme="majorBidi"/>
                  <w:sz w:val="24"/>
                  <w:szCs w:val="24"/>
                </w:rPr>
                <m:t xml:space="preserve"> du matériau après le </m:t>
              </m:r>
              <m:sSup>
                <m:sSupPr>
                  <m:ctrlPr>
                    <w:rPr>
                      <w:rFonts w:ascii="Cambria Math" w:hAnsi="Cambria Math" w:cstheme="majorBidi"/>
                      <w:sz w:val="24"/>
                      <w:szCs w:val="24"/>
                    </w:rPr>
                  </m:ctrlPr>
                </m:sSupPr>
                <m:e>
                  <m:r>
                    <m:rPr>
                      <m:sty m:val="p"/>
                    </m:rPr>
                    <w:rPr>
                      <w:rFonts w:ascii="Cambria Math" w:hAnsi="Cambria Math" w:cstheme="majorBidi"/>
                      <w:sz w:val="24"/>
                      <w:szCs w:val="24"/>
                    </w:rPr>
                    <m:t>4</m:t>
                  </m:r>
                </m:e>
                <m:sup>
                  <m:r>
                    <m:rPr>
                      <m:sty m:val="p"/>
                    </m:rPr>
                    <w:rPr>
                      <w:rFonts w:ascii="Cambria Math" w:hAnsi="Cambria Math" w:cstheme="majorBidi"/>
                      <w:sz w:val="24"/>
                      <w:szCs w:val="24"/>
                    </w:rPr>
                    <m:t>éme</m:t>
                  </m:r>
                </m:sup>
              </m:sSup>
              <m:r>
                <m:rPr>
                  <m:sty m:val="p"/>
                </m:rPr>
                <w:rPr>
                  <w:rFonts w:ascii="Cambria Math" w:hAnsi="Cambria Math" w:cstheme="majorBidi"/>
                  <w:sz w:val="24"/>
                  <w:szCs w:val="24"/>
                </w:rPr>
                <m:t xml:space="preserve"> cycle d</m:t>
              </m:r>
              <m:r>
                <m:rPr>
                  <m:sty m:val="p"/>
                </m:rPr>
                <w:rPr>
                  <w:rFonts w:ascii="Times New Roman" w:hAnsi="Times New Roman" w:cs="Times New Roman"/>
                  <w:sz w:val="24"/>
                  <w:szCs w:val="24"/>
                </w:rPr>
                <m:t>'</m:t>
              </m:r>
              <m:r>
                <m:rPr>
                  <m:sty m:val="p"/>
                </m:rPr>
                <w:rPr>
                  <w:rFonts w:ascii="Cambria Math" w:hAnsi="Cambria Math" w:cstheme="majorBidi"/>
                  <w:sz w:val="24"/>
                  <w:szCs w:val="24"/>
                </w:rPr>
                <m:t>imbibition-séchage</m:t>
              </m:r>
            </m:den>
          </m:f>
        </m:oMath>
      </m:oMathPara>
    </w:p>
    <w:p w:rsidR="00D4014D" w:rsidRPr="0068735C" w:rsidRDefault="00093AC1" w:rsidP="0039428F">
      <w:pPr>
        <w:spacing w:after="108" w:line="360" w:lineRule="auto"/>
        <w:ind w:firstLine="567"/>
        <w:rPr>
          <w:rFonts w:ascii="Cambria Math" w:eastAsiaTheme="minorEastAsia" w:hAnsi="Cambria Math" w:cstheme="majorBidi"/>
          <w:spacing w:val="-3"/>
        </w:rPr>
      </w:pPr>
      <w:r w:rsidRPr="0068735C">
        <w:rPr>
          <w:rFonts w:ascii="Cambria Math" w:eastAsiaTheme="minorEastAsia" w:hAnsi="Cambria Math" w:cstheme="majorBidi"/>
          <w:noProof/>
          <w:spacing w:val="-3"/>
          <w:lang w:eastAsia="fr-FR"/>
        </w:rPr>
        <w:drawing>
          <wp:anchor distT="0" distB="0" distL="114300" distR="114300" simplePos="0" relativeHeight="251661312" behindDoc="1" locked="0" layoutInCell="1" allowOverlap="1">
            <wp:simplePos x="0" y="0"/>
            <wp:positionH relativeFrom="column">
              <wp:posOffset>-60938</wp:posOffset>
            </wp:positionH>
            <wp:positionV relativeFrom="paragraph">
              <wp:posOffset>142152</wp:posOffset>
            </wp:positionV>
            <wp:extent cx="6031098" cy="4130566"/>
            <wp:effectExtent l="19050" t="0" r="7752" b="0"/>
            <wp:wrapNone/>
            <wp:docPr id="80" name="Imag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63259_334944663236768_138707159527187_938416_1245231901_n.jpg"/>
                    <pic:cNvPicPr/>
                  </pic:nvPicPr>
                  <pic:blipFill>
                    <a:blip r:embed="rId14"/>
                    <a:stretch>
                      <a:fillRect/>
                    </a:stretch>
                  </pic:blipFill>
                  <pic:spPr>
                    <a:xfrm>
                      <a:off x="0" y="0"/>
                      <a:ext cx="6031098" cy="4130566"/>
                    </a:xfrm>
                    <a:prstGeom prst="rect">
                      <a:avLst/>
                    </a:prstGeom>
                  </pic:spPr>
                </pic:pic>
              </a:graphicData>
            </a:graphic>
          </wp:anchor>
        </w:drawing>
      </w: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D4014D" w:rsidRPr="0068735C" w:rsidRDefault="00D4014D" w:rsidP="0039428F">
      <w:pPr>
        <w:spacing w:after="108" w:line="360" w:lineRule="auto"/>
        <w:ind w:firstLine="567"/>
        <w:rPr>
          <w:rFonts w:ascii="Cambria Math" w:eastAsiaTheme="minorEastAsia" w:hAnsi="Cambria Math" w:cstheme="majorBidi"/>
          <w:spacing w:val="-3"/>
        </w:rPr>
      </w:pPr>
    </w:p>
    <w:p w:rsidR="00E371BB" w:rsidRPr="0068735C" w:rsidRDefault="00E371BB" w:rsidP="00093AC1">
      <w:pPr>
        <w:spacing w:line="360" w:lineRule="auto"/>
        <w:jc w:val="center"/>
        <w:rPr>
          <w:rFonts w:ascii="Times New Roman" w:hAnsi="Times New Roman" w:cs="Times New Roman"/>
          <w:b/>
          <w:sz w:val="24"/>
          <w:szCs w:val="24"/>
        </w:rPr>
      </w:pPr>
    </w:p>
    <w:p w:rsidR="00D4014D" w:rsidRPr="0068735C" w:rsidRDefault="00093AC1" w:rsidP="00093AC1">
      <w:pPr>
        <w:spacing w:line="360" w:lineRule="auto"/>
        <w:jc w:val="center"/>
        <w:rPr>
          <w:rFonts w:ascii="Times New Roman" w:hAnsi="Times New Roman" w:cs="Times New Roman"/>
          <w:b/>
        </w:rPr>
      </w:pPr>
      <w:r w:rsidRPr="0068735C">
        <w:rPr>
          <w:rFonts w:ascii="Times New Roman" w:hAnsi="Times New Roman" w:cs="Times New Roman"/>
          <w:b/>
          <w:sz w:val="24"/>
          <w:szCs w:val="24"/>
        </w:rPr>
        <w:t>Figure II.</w:t>
      </w:r>
      <w:r w:rsidR="00F75F5A" w:rsidRPr="0068735C">
        <w:rPr>
          <w:rFonts w:ascii="Times New Roman" w:hAnsi="Times New Roman" w:cs="Times New Roman"/>
          <w:b/>
          <w:sz w:val="24"/>
          <w:szCs w:val="24"/>
        </w:rPr>
        <w:t>6</w:t>
      </w:r>
      <w:r w:rsidRPr="0068735C">
        <w:rPr>
          <w:rFonts w:ascii="Times New Roman" w:hAnsi="Times New Roman" w:cs="Times New Roman"/>
          <w:b/>
          <w:sz w:val="24"/>
          <w:szCs w:val="24"/>
        </w:rPr>
        <w:t xml:space="preserve"> : </w:t>
      </w:r>
      <w:r w:rsidR="002B26EF" w:rsidRPr="0068735C">
        <w:rPr>
          <w:rFonts w:ascii="Times New Roman" w:hAnsi="Times New Roman" w:cs="Times New Roman"/>
          <w:b/>
        </w:rPr>
        <w:t>S</w:t>
      </w:r>
      <w:r w:rsidRPr="0068735C">
        <w:rPr>
          <w:rFonts w:ascii="Times New Roman" w:hAnsi="Times New Roman" w:cs="Times New Roman"/>
          <w:b/>
        </w:rPr>
        <w:t>chéma synoptique d</w:t>
      </w:r>
      <w:r w:rsidR="00AB1CFC">
        <w:rPr>
          <w:rFonts w:ascii="Times New Roman" w:hAnsi="Times New Roman" w:cs="Times New Roman"/>
          <w:b/>
        </w:rPr>
        <w:t>u</w:t>
      </w:r>
      <w:r w:rsidRPr="0068735C">
        <w:rPr>
          <w:rFonts w:ascii="Times New Roman" w:hAnsi="Times New Roman" w:cs="Times New Roman"/>
          <w:b/>
        </w:rPr>
        <w:t xml:space="preserve"> </w:t>
      </w:r>
      <w:r w:rsidRPr="0068735C">
        <w:rPr>
          <w:rFonts w:ascii="Times New Roman" w:hAnsi="Times New Roman" w:cs="Times New Roman"/>
          <w:b/>
          <w:sz w:val="24"/>
          <w:szCs w:val="24"/>
        </w:rPr>
        <w:t>processus</w:t>
      </w:r>
      <w:r w:rsidRPr="0068735C">
        <w:rPr>
          <w:rFonts w:ascii="Times New Roman" w:hAnsi="Times New Roman" w:cs="Times New Roman"/>
          <w:b/>
        </w:rPr>
        <w:t xml:space="preserve"> opératoire de l’essai de </w:t>
      </w:r>
      <w:proofErr w:type="spellStart"/>
      <w:r w:rsidRPr="0068735C">
        <w:rPr>
          <w:rFonts w:ascii="Times New Roman" w:hAnsi="Times New Roman" w:cs="Times New Roman"/>
          <w:b/>
        </w:rPr>
        <w:t>digradabilité</w:t>
      </w:r>
      <w:proofErr w:type="spellEnd"/>
      <w:r w:rsidRPr="0068735C">
        <w:rPr>
          <w:rFonts w:ascii="Times New Roman" w:hAnsi="Times New Roman" w:cs="Times New Roman"/>
          <w:b/>
        </w:rPr>
        <w:t>.</w:t>
      </w:r>
    </w:p>
    <w:p w:rsidR="00E371BB" w:rsidRPr="0068735C" w:rsidRDefault="00E371BB" w:rsidP="00093AC1">
      <w:pPr>
        <w:spacing w:line="360" w:lineRule="auto"/>
        <w:jc w:val="center"/>
        <w:rPr>
          <w:rFonts w:ascii="Times New Roman" w:hAnsi="Times New Roman" w:cs="Times New Roman"/>
          <w:b/>
        </w:rPr>
      </w:pPr>
    </w:p>
    <w:p w:rsidR="00E371BB" w:rsidRPr="0068735C" w:rsidRDefault="00E371BB" w:rsidP="00093AC1">
      <w:pPr>
        <w:spacing w:line="360" w:lineRule="auto"/>
        <w:jc w:val="center"/>
        <w:rPr>
          <w:rFonts w:ascii="Times New Roman" w:hAnsi="Times New Roman" w:cs="Times New Roman"/>
          <w:b/>
          <w:sz w:val="24"/>
          <w:szCs w:val="24"/>
        </w:rPr>
      </w:pPr>
    </w:p>
    <w:p w:rsidR="00CD448E" w:rsidRPr="0068735C" w:rsidRDefault="00CD448E" w:rsidP="00162366">
      <w:pPr>
        <w:spacing w:line="360" w:lineRule="auto"/>
        <w:rPr>
          <w:rFonts w:asciiTheme="majorBidi" w:hAnsiTheme="majorBidi" w:cstheme="majorBidi"/>
          <w:spacing w:val="-4"/>
          <w:sz w:val="24"/>
          <w:szCs w:val="24"/>
        </w:rPr>
      </w:pPr>
    </w:p>
    <w:p w:rsidR="00A963B6" w:rsidRPr="0068735C" w:rsidRDefault="00A963B6" w:rsidP="00162366">
      <w:pPr>
        <w:spacing w:line="360" w:lineRule="auto"/>
        <w:rPr>
          <w:rFonts w:asciiTheme="majorBidi" w:hAnsiTheme="majorBidi" w:cstheme="majorBidi"/>
          <w:spacing w:val="-4"/>
          <w:sz w:val="24"/>
          <w:szCs w:val="24"/>
        </w:rPr>
      </w:pPr>
      <w:r w:rsidRPr="0068735C">
        <w:rPr>
          <w:rFonts w:asciiTheme="majorBidi" w:hAnsiTheme="majorBidi" w:cstheme="majorBidi"/>
          <w:spacing w:val="-4"/>
          <w:sz w:val="24"/>
          <w:szCs w:val="24"/>
        </w:rPr>
        <w:t xml:space="preserve">Ce rapport est précisément le coefficient de dégradabilité du matériau. </w:t>
      </w:r>
      <w:r w:rsidRPr="0068735C">
        <w:rPr>
          <w:rFonts w:asciiTheme="majorBidi" w:hAnsiTheme="majorBidi" w:cstheme="majorBidi"/>
          <w:sz w:val="24"/>
          <w:szCs w:val="24"/>
        </w:rPr>
        <w:t>Seuil retenu DG= 20 et 5</w:t>
      </w:r>
    </w:p>
    <w:p w:rsidR="00A963B6" w:rsidRPr="0068735C" w:rsidRDefault="00D4014D" w:rsidP="000B6ED2">
      <w:pPr>
        <w:pStyle w:val="Paragraphedeliste"/>
        <w:numPr>
          <w:ilvl w:val="0"/>
          <w:numId w:val="4"/>
        </w:numPr>
        <w:autoSpaceDE w:val="0"/>
        <w:autoSpaceDN w:val="0"/>
        <w:adjustRightInd w:val="0"/>
        <w:spacing w:after="0" w:line="360" w:lineRule="auto"/>
        <w:ind w:left="714" w:hanging="357"/>
        <w:rPr>
          <w:rFonts w:asciiTheme="majorBidi" w:hAnsiTheme="majorBidi" w:cstheme="majorBidi"/>
          <w:sz w:val="24"/>
          <w:szCs w:val="24"/>
        </w:rPr>
      </w:pPr>
      <w:r w:rsidRPr="0068735C">
        <w:rPr>
          <w:rFonts w:asciiTheme="majorBidi" w:hAnsiTheme="majorBidi" w:cstheme="majorBidi"/>
          <w:sz w:val="24"/>
          <w:szCs w:val="24"/>
        </w:rPr>
        <w:t xml:space="preserve">Si </w:t>
      </w:r>
      <w:r w:rsidR="00A963B6" w:rsidRPr="0068735C">
        <w:rPr>
          <w:rFonts w:asciiTheme="majorBidi" w:hAnsiTheme="majorBidi" w:cstheme="majorBidi"/>
          <w:sz w:val="24"/>
          <w:szCs w:val="24"/>
        </w:rPr>
        <w:t xml:space="preserve">DG &gt; 20 : </w:t>
      </w:r>
      <w:r w:rsidRPr="0068735C">
        <w:rPr>
          <w:rFonts w:asciiTheme="majorBidi" w:hAnsiTheme="majorBidi" w:cstheme="majorBidi"/>
          <w:sz w:val="24"/>
          <w:szCs w:val="24"/>
        </w:rPr>
        <w:t>le matériau</w:t>
      </w:r>
      <w:r w:rsidR="00D26D7C">
        <w:rPr>
          <w:rFonts w:asciiTheme="majorBidi" w:hAnsiTheme="majorBidi" w:cstheme="majorBidi"/>
          <w:sz w:val="24"/>
          <w:szCs w:val="24"/>
        </w:rPr>
        <w:t xml:space="preserve"> </w:t>
      </w:r>
      <w:r w:rsidRPr="0068735C">
        <w:rPr>
          <w:rFonts w:asciiTheme="majorBidi" w:hAnsiTheme="majorBidi" w:cstheme="majorBidi"/>
          <w:sz w:val="24"/>
          <w:szCs w:val="24"/>
        </w:rPr>
        <w:t xml:space="preserve">est </w:t>
      </w:r>
      <w:r w:rsidR="00A963B6" w:rsidRPr="0068735C">
        <w:rPr>
          <w:rFonts w:asciiTheme="majorBidi" w:hAnsiTheme="majorBidi" w:cstheme="majorBidi"/>
          <w:sz w:val="24"/>
          <w:szCs w:val="24"/>
        </w:rPr>
        <w:t>très dégradables</w:t>
      </w:r>
    </w:p>
    <w:p w:rsidR="00A963B6" w:rsidRPr="0068735C" w:rsidRDefault="00D4014D" w:rsidP="000B6ED2">
      <w:pPr>
        <w:pStyle w:val="Paragraphedeliste"/>
        <w:numPr>
          <w:ilvl w:val="0"/>
          <w:numId w:val="4"/>
        </w:numPr>
        <w:autoSpaceDE w:val="0"/>
        <w:autoSpaceDN w:val="0"/>
        <w:adjustRightInd w:val="0"/>
        <w:spacing w:after="0" w:line="360" w:lineRule="auto"/>
        <w:ind w:left="714" w:hanging="357"/>
        <w:rPr>
          <w:rFonts w:asciiTheme="majorBidi" w:hAnsiTheme="majorBidi" w:cstheme="majorBidi"/>
          <w:sz w:val="24"/>
          <w:szCs w:val="24"/>
        </w:rPr>
      </w:pPr>
      <w:r w:rsidRPr="0068735C">
        <w:rPr>
          <w:rFonts w:asciiTheme="majorBidi" w:hAnsiTheme="majorBidi" w:cstheme="majorBidi"/>
          <w:sz w:val="24"/>
          <w:szCs w:val="24"/>
        </w:rPr>
        <w:t xml:space="preserve">Si </w:t>
      </w:r>
      <w:r w:rsidR="00A963B6" w:rsidRPr="0068735C">
        <w:rPr>
          <w:rFonts w:asciiTheme="majorBidi" w:hAnsiTheme="majorBidi" w:cstheme="majorBidi"/>
          <w:sz w:val="24"/>
          <w:szCs w:val="24"/>
        </w:rPr>
        <w:t xml:space="preserve">5 &lt; DG &lt; 20 : </w:t>
      </w:r>
      <w:r w:rsidRPr="0068735C">
        <w:rPr>
          <w:rFonts w:asciiTheme="majorBidi" w:hAnsiTheme="majorBidi" w:cstheme="majorBidi"/>
          <w:sz w:val="24"/>
          <w:szCs w:val="24"/>
        </w:rPr>
        <w:t>le matériau</w:t>
      </w:r>
      <w:r w:rsidR="00D26D7C">
        <w:rPr>
          <w:rFonts w:asciiTheme="majorBidi" w:hAnsiTheme="majorBidi" w:cstheme="majorBidi"/>
          <w:sz w:val="24"/>
          <w:szCs w:val="24"/>
        </w:rPr>
        <w:t xml:space="preserve"> </w:t>
      </w:r>
      <w:r w:rsidRPr="0068735C">
        <w:rPr>
          <w:rFonts w:asciiTheme="majorBidi" w:hAnsiTheme="majorBidi" w:cstheme="majorBidi"/>
          <w:sz w:val="24"/>
          <w:szCs w:val="24"/>
        </w:rPr>
        <w:t xml:space="preserve">est </w:t>
      </w:r>
      <w:r w:rsidR="00A963B6" w:rsidRPr="0068735C">
        <w:rPr>
          <w:rFonts w:asciiTheme="majorBidi" w:hAnsiTheme="majorBidi" w:cstheme="majorBidi"/>
          <w:sz w:val="24"/>
          <w:szCs w:val="24"/>
        </w:rPr>
        <w:t>moyennement dégradables</w:t>
      </w:r>
    </w:p>
    <w:p w:rsidR="00A963B6" w:rsidRPr="0068735C" w:rsidRDefault="00D4014D" w:rsidP="000B6ED2">
      <w:pPr>
        <w:pStyle w:val="Paragraphedeliste"/>
        <w:numPr>
          <w:ilvl w:val="0"/>
          <w:numId w:val="4"/>
        </w:numPr>
        <w:autoSpaceDE w:val="0"/>
        <w:autoSpaceDN w:val="0"/>
        <w:adjustRightInd w:val="0"/>
        <w:spacing w:after="0" w:line="360" w:lineRule="auto"/>
        <w:ind w:left="714" w:hanging="357"/>
        <w:rPr>
          <w:rFonts w:asciiTheme="majorBidi" w:hAnsiTheme="majorBidi" w:cstheme="majorBidi"/>
          <w:sz w:val="24"/>
          <w:szCs w:val="24"/>
        </w:rPr>
      </w:pPr>
      <w:r w:rsidRPr="0068735C">
        <w:rPr>
          <w:rFonts w:asciiTheme="majorBidi" w:hAnsiTheme="majorBidi" w:cstheme="majorBidi"/>
          <w:sz w:val="24"/>
          <w:szCs w:val="24"/>
        </w:rPr>
        <w:t xml:space="preserve">Si DG &lt; 5 : le matériau est </w:t>
      </w:r>
      <w:r w:rsidR="00A963B6" w:rsidRPr="0068735C">
        <w:rPr>
          <w:rFonts w:asciiTheme="majorBidi" w:hAnsiTheme="majorBidi" w:cstheme="majorBidi"/>
          <w:sz w:val="24"/>
          <w:szCs w:val="24"/>
        </w:rPr>
        <w:t xml:space="preserve"> peu dégradables</w:t>
      </w:r>
      <w:r w:rsidR="00093AC1" w:rsidRPr="0068735C">
        <w:rPr>
          <w:rFonts w:asciiTheme="majorBidi" w:hAnsiTheme="majorBidi" w:cstheme="majorBidi"/>
          <w:sz w:val="24"/>
          <w:szCs w:val="24"/>
        </w:rPr>
        <w:t>.</w:t>
      </w:r>
    </w:p>
    <w:p w:rsidR="00093AC1" w:rsidRPr="0068735C" w:rsidRDefault="00093AC1" w:rsidP="00093AC1">
      <w:pPr>
        <w:pStyle w:val="Paragraphedeliste"/>
        <w:autoSpaceDE w:val="0"/>
        <w:autoSpaceDN w:val="0"/>
        <w:adjustRightInd w:val="0"/>
        <w:spacing w:after="0" w:line="360" w:lineRule="auto"/>
        <w:ind w:left="714"/>
        <w:rPr>
          <w:rFonts w:asciiTheme="majorBidi" w:hAnsiTheme="majorBidi" w:cstheme="majorBidi"/>
          <w:sz w:val="24"/>
          <w:szCs w:val="24"/>
        </w:rPr>
      </w:pPr>
    </w:p>
    <w:p w:rsidR="00A963B6" w:rsidRPr="0068735C" w:rsidRDefault="00A963B6" w:rsidP="0039428F">
      <w:pPr>
        <w:pStyle w:val="Titre4"/>
        <w:spacing w:before="0" w:line="360" w:lineRule="auto"/>
        <w:rPr>
          <w:color w:val="auto"/>
        </w:rPr>
      </w:pPr>
      <w:r w:rsidRPr="0068735C">
        <w:rPr>
          <w:color w:val="auto"/>
        </w:rPr>
        <w:t>Appareillage et matériel d'essai :</w:t>
      </w:r>
    </w:p>
    <w:p w:rsidR="00A963B6" w:rsidRPr="0068735C" w:rsidRDefault="00A963B6" w:rsidP="0039428F">
      <w:pPr>
        <w:pStyle w:val="Paragraphedeliste"/>
        <w:numPr>
          <w:ilvl w:val="0"/>
          <w:numId w:val="3"/>
        </w:numPr>
        <w:tabs>
          <w:tab w:val="left" w:pos="9638"/>
        </w:tabs>
        <w:spacing w:line="360" w:lineRule="auto"/>
        <w:ind w:right="-1"/>
        <w:rPr>
          <w:rFonts w:asciiTheme="majorBidi" w:hAnsiTheme="majorBidi" w:cstheme="majorBidi"/>
          <w:spacing w:val="-4"/>
          <w:sz w:val="24"/>
          <w:szCs w:val="24"/>
        </w:rPr>
      </w:pPr>
      <w:r w:rsidRPr="0068735C">
        <w:rPr>
          <w:rFonts w:asciiTheme="majorBidi" w:hAnsiTheme="majorBidi" w:cstheme="majorBidi"/>
          <w:spacing w:val="-5"/>
          <w:sz w:val="24"/>
          <w:szCs w:val="24"/>
        </w:rPr>
        <w:t>Colonne de tamis de mailles : 1, 2, 4,5, 8,10, 12.5, 16 ou 20 mm.</w:t>
      </w:r>
    </w:p>
    <w:p w:rsidR="00A963B6" w:rsidRPr="0068735C" w:rsidRDefault="00A963B6" w:rsidP="0039428F">
      <w:pPr>
        <w:pStyle w:val="Paragraphedeliste"/>
        <w:numPr>
          <w:ilvl w:val="0"/>
          <w:numId w:val="3"/>
        </w:numPr>
        <w:tabs>
          <w:tab w:val="left" w:pos="9638"/>
        </w:tabs>
        <w:spacing w:line="360" w:lineRule="auto"/>
        <w:ind w:right="-1"/>
        <w:rPr>
          <w:rFonts w:asciiTheme="majorBidi" w:hAnsiTheme="majorBidi" w:cstheme="majorBidi"/>
          <w:spacing w:val="-4"/>
          <w:sz w:val="24"/>
          <w:szCs w:val="24"/>
        </w:rPr>
      </w:pPr>
      <w:r w:rsidRPr="0068735C">
        <w:rPr>
          <w:rFonts w:asciiTheme="majorBidi" w:hAnsiTheme="majorBidi" w:cstheme="majorBidi"/>
          <w:spacing w:val="-4"/>
          <w:sz w:val="24"/>
          <w:szCs w:val="24"/>
        </w:rPr>
        <w:t>Étuve thermo statée réglable à 105 °C ± 2 °C.</w:t>
      </w:r>
    </w:p>
    <w:p w:rsidR="00A963B6" w:rsidRPr="0068735C" w:rsidRDefault="00A963B6" w:rsidP="0039428F">
      <w:pPr>
        <w:pStyle w:val="Paragraphedeliste"/>
        <w:numPr>
          <w:ilvl w:val="0"/>
          <w:numId w:val="3"/>
        </w:numPr>
        <w:spacing w:line="360" w:lineRule="auto"/>
        <w:ind w:right="-1"/>
        <w:rPr>
          <w:rFonts w:asciiTheme="majorBidi" w:hAnsiTheme="majorBidi" w:cstheme="majorBidi"/>
          <w:spacing w:val="-4"/>
          <w:sz w:val="24"/>
          <w:szCs w:val="24"/>
        </w:rPr>
      </w:pPr>
      <w:r w:rsidRPr="0068735C">
        <w:rPr>
          <w:rFonts w:asciiTheme="majorBidi" w:hAnsiTheme="majorBidi" w:cstheme="majorBidi"/>
          <w:spacing w:val="-4"/>
          <w:sz w:val="24"/>
          <w:szCs w:val="24"/>
        </w:rPr>
        <w:t>Bac métallique plat de dimensions minimales (H x I x L) :0,1 m x 0,3 m x 0,5 m.</w:t>
      </w:r>
    </w:p>
    <w:p w:rsidR="00A963B6" w:rsidRPr="0068735C" w:rsidRDefault="00A963B6" w:rsidP="0039428F">
      <w:pPr>
        <w:pStyle w:val="Paragraphedeliste"/>
        <w:numPr>
          <w:ilvl w:val="0"/>
          <w:numId w:val="3"/>
        </w:numPr>
        <w:spacing w:line="360" w:lineRule="auto"/>
        <w:rPr>
          <w:rFonts w:asciiTheme="majorBidi" w:hAnsiTheme="majorBidi" w:cstheme="majorBidi"/>
          <w:spacing w:val="-5"/>
          <w:sz w:val="24"/>
          <w:szCs w:val="24"/>
        </w:rPr>
      </w:pPr>
      <w:r w:rsidRPr="0068735C">
        <w:rPr>
          <w:rFonts w:asciiTheme="majorBidi" w:hAnsiTheme="majorBidi" w:cstheme="majorBidi"/>
          <w:spacing w:val="-5"/>
          <w:sz w:val="24"/>
          <w:szCs w:val="24"/>
        </w:rPr>
        <w:t>Bac plat de dimensions minimales (H x I x L) :</w:t>
      </w:r>
      <w:r w:rsidRPr="0068735C">
        <w:rPr>
          <w:rFonts w:asciiTheme="majorBidi" w:hAnsiTheme="majorBidi" w:cstheme="majorBidi"/>
          <w:spacing w:val="-4"/>
          <w:sz w:val="24"/>
          <w:szCs w:val="24"/>
        </w:rPr>
        <w:t>0,25 m x 0,5 m x 0,75 m.</w:t>
      </w:r>
    </w:p>
    <w:p w:rsidR="000B6ED2" w:rsidRPr="0068735C" w:rsidRDefault="00A963B6" w:rsidP="000B6ED2">
      <w:pPr>
        <w:pStyle w:val="Paragraphedeliste"/>
        <w:numPr>
          <w:ilvl w:val="0"/>
          <w:numId w:val="3"/>
        </w:numPr>
        <w:spacing w:line="360" w:lineRule="auto"/>
        <w:rPr>
          <w:rFonts w:asciiTheme="majorBidi" w:hAnsiTheme="majorBidi" w:cstheme="majorBidi"/>
          <w:spacing w:val="-5"/>
          <w:sz w:val="24"/>
          <w:szCs w:val="24"/>
        </w:rPr>
      </w:pPr>
      <w:r w:rsidRPr="0068735C">
        <w:rPr>
          <w:rFonts w:asciiTheme="majorBidi" w:hAnsiTheme="majorBidi" w:cstheme="majorBidi"/>
          <w:spacing w:val="-5"/>
          <w:sz w:val="24"/>
          <w:szCs w:val="24"/>
        </w:rPr>
        <w:t xml:space="preserve">Balance portée 3 000 </w:t>
      </w:r>
      <w:r w:rsidR="00C36F4C" w:rsidRPr="0068735C">
        <w:rPr>
          <w:rFonts w:asciiTheme="majorBidi" w:hAnsiTheme="majorBidi" w:cstheme="majorBidi"/>
          <w:spacing w:val="-5"/>
          <w:sz w:val="24"/>
          <w:szCs w:val="24"/>
        </w:rPr>
        <w:t>g</w:t>
      </w:r>
    </w:p>
    <w:p w:rsidR="00093AC1" w:rsidRPr="0068735C" w:rsidRDefault="00093AC1" w:rsidP="00093AC1">
      <w:pPr>
        <w:pStyle w:val="Paragraphedeliste"/>
        <w:spacing w:line="360" w:lineRule="auto"/>
        <w:rPr>
          <w:rFonts w:asciiTheme="majorBidi" w:hAnsiTheme="majorBidi" w:cstheme="majorBidi"/>
          <w:spacing w:val="-5"/>
          <w:sz w:val="24"/>
          <w:szCs w:val="24"/>
        </w:rPr>
      </w:pPr>
    </w:p>
    <w:p w:rsidR="00A963B6" w:rsidRPr="0068735C" w:rsidRDefault="00A963B6" w:rsidP="0039428F">
      <w:pPr>
        <w:pStyle w:val="Titre1"/>
        <w:spacing w:before="0" w:line="360" w:lineRule="auto"/>
        <w:rPr>
          <w:rFonts w:ascii="Times New Roman" w:hAnsi="Times New Roman" w:cs="Times New Roman"/>
          <w:color w:val="auto"/>
          <w:sz w:val="24"/>
          <w:szCs w:val="24"/>
        </w:rPr>
      </w:pPr>
      <w:bookmarkStart w:id="18" w:name="_Toc326838028"/>
      <w:r w:rsidRPr="0068735C">
        <w:rPr>
          <w:rFonts w:ascii="Times New Roman" w:hAnsi="Times New Roman" w:cs="Times New Roman"/>
          <w:color w:val="auto"/>
          <w:sz w:val="24"/>
          <w:szCs w:val="24"/>
        </w:rPr>
        <w:t>II.2.2 Essais mécaniques :</w:t>
      </w:r>
      <w:bookmarkEnd w:id="18"/>
    </w:p>
    <w:p w:rsidR="00A963B6" w:rsidRPr="0068735C" w:rsidRDefault="00A963B6" w:rsidP="0039428F">
      <w:pPr>
        <w:pStyle w:val="Titre3"/>
        <w:spacing w:before="0" w:line="360" w:lineRule="auto"/>
        <w:rPr>
          <w:color w:val="auto"/>
          <w:sz w:val="24"/>
          <w:szCs w:val="24"/>
        </w:rPr>
      </w:pPr>
      <w:bookmarkStart w:id="19" w:name="_Toc326838029"/>
      <w:r w:rsidRPr="0068735C">
        <w:rPr>
          <w:color w:val="auto"/>
          <w:sz w:val="24"/>
          <w:szCs w:val="24"/>
          <w:lang w:eastAsia="en-US" w:bidi="en-US"/>
        </w:rPr>
        <w:t>II.2.2.1</w:t>
      </w:r>
      <w:r w:rsidR="00AB1CFC">
        <w:rPr>
          <w:color w:val="auto"/>
          <w:sz w:val="24"/>
          <w:szCs w:val="24"/>
          <w:lang w:eastAsia="en-US" w:bidi="en-US"/>
        </w:rPr>
        <w:t xml:space="preserve"> </w:t>
      </w:r>
      <w:r w:rsidR="00357536" w:rsidRPr="0068735C">
        <w:rPr>
          <w:color w:val="auto"/>
          <w:sz w:val="24"/>
          <w:szCs w:val="24"/>
        </w:rPr>
        <w:t>Essai</w:t>
      </w:r>
      <w:r w:rsidRPr="0068735C">
        <w:rPr>
          <w:color w:val="auto"/>
          <w:sz w:val="24"/>
          <w:szCs w:val="24"/>
        </w:rPr>
        <w:t xml:space="preserve"> Proctor normal (</w:t>
      </w:r>
      <w:r w:rsidRPr="0068735C">
        <w:rPr>
          <w:rFonts w:asciiTheme="majorBidi" w:hAnsiTheme="majorBidi"/>
          <w:color w:val="auto"/>
          <w:spacing w:val="-4"/>
          <w:sz w:val="24"/>
          <w:szCs w:val="24"/>
        </w:rPr>
        <w:t>NF P 94-093)</w:t>
      </w:r>
      <w:r w:rsidRPr="0068735C">
        <w:rPr>
          <w:color w:val="auto"/>
          <w:sz w:val="24"/>
          <w:szCs w:val="24"/>
        </w:rPr>
        <w:t>:</w:t>
      </w:r>
      <w:bookmarkEnd w:id="19"/>
    </w:p>
    <w:p w:rsidR="00A963B6" w:rsidRPr="0068735C" w:rsidRDefault="00A963B6" w:rsidP="0039428F">
      <w:pPr>
        <w:spacing w:line="360" w:lineRule="auto"/>
        <w:ind w:firstLine="567"/>
        <w:rPr>
          <w:rFonts w:asciiTheme="majorBidi" w:hAnsiTheme="majorBidi" w:cstheme="majorBidi"/>
          <w:sz w:val="24"/>
          <w:szCs w:val="24"/>
        </w:rPr>
      </w:pPr>
      <w:r w:rsidRPr="0068735C">
        <w:rPr>
          <w:rFonts w:asciiTheme="majorBidi" w:hAnsiTheme="majorBidi" w:cstheme="majorBidi"/>
          <w:sz w:val="24"/>
          <w:szCs w:val="24"/>
        </w:rPr>
        <w:t xml:space="preserve">L'essai Proctor est un essai de compactage exécuté en laboratoire qui a pour but de déterminer l'influence de la teneur en eau (w exprimée en %) d'un matériau sur sa compactibilité (exprimée par la masse volumique sèche </w:t>
      </w:r>
      <w:r w:rsidR="00357536" w:rsidRPr="0068735C">
        <w:rPr>
          <w:rFonts w:asciiTheme="majorBidi" w:hAnsiTheme="majorBidi" w:cstheme="majorBidi"/>
          <w:sz w:val="24"/>
          <w:szCs w:val="24"/>
        </w:rPr>
        <w:sym w:font="Symbol" w:char="F067"/>
      </w:r>
      <w:r w:rsidRPr="0068735C">
        <w:rPr>
          <w:rFonts w:asciiTheme="majorBidi" w:hAnsiTheme="majorBidi" w:cstheme="majorBidi"/>
          <w:sz w:val="24"/>
          <w:szCs w:val="24"/>
          <w:vertAlign w:val="subscript"/>
        </w:rPr>
        <w:t>d</w:t>
      </w:r>
      <w:r w:rsidRPr="0068735C">
        <w:rPr>
          <w:rFonts w:asciiTheme="majorBidi" w:hAnsiTheme="majorBidi" w:cstheme="majorBidi"/>
          <w:sz w:val="24"/>
          <w:szCs w:val="24"/>
        </w:rPr>
        <w:t xml:space="preserve"> en g/cm3 ou en kg/m3).</w:t>
      </w:r>
    </w:p>
    <w:p w:rsidR="00A963B6" w:rsidRPr="0068735C" w:rsidRDefault="00A963B6" w:rsidP="0039428F">
      <w:pPr>
        <w:spacing w:line="360" w:lineRule="auto"/>
        <w:rPr>
          <w:rFonts w:asciiTheme="majorBidi" w:hAnsiTheme="majorBidi" w:cstheme="majorBidi"/>
          <w:sz w:val="24"/>
          <w:szCs w:val="24"/>
        </w:rPr>
      </w:pPr>
      <w:r w:rsidRPr="0068735C">
        <w:rPr>
          <w:rFonts w:asciiTheme="majorBidi" w:hAnsiTheme="majorBidi" w:cstheme="majorBidi"/>
          <w:sz w:val="24"/>
          <w:szCs w:val="24"/>
        </w:rPr>
        <w:t>Conditions d'essai:</w:t>
      </w:r>
    </w:p>
    <w:p w:rsidR="00A963B6" w:rsidRPr="0068735C" w:rsidRDefault="00A963B6" w:rsidP="0039428F">
      <w:pPr>
        <w:spacing w:line="360" w:lineRule="auto"/>
        <w:ind w:firstLine="567"/>
        <w:rPr>
          <w:rFonts w:asciiTheme="majorBidi" w:hAnsiTheme="majorBidi" w:cstheme="majorBidi"/>
          <w:sz w:val="24"/>
          <w:szCs w:val="24"/>
        </w:rPr>
      </w:pPr>
      <w:r w:rsidRPr="0068735C">
        <w:rPr>
          <w:rFonts w:asciiTheme="majorBidi" w:hAnsiTheme="majorBidi" w:cstheme="majorBidi"/>
          <w:sz w:val="24"/>
          <w:szCs w:val="24"/>
        </w:rPr>
        <w:t>Le matériau est porté à différentes teneurs en eau et chacun des mélanges est ensuite compacté par couche dans un moule cylindrique au moyen d'un marteau de dimension et de masse normalisées que l'on laisse tomber librement d'une hauteur normalisée. La masse volumique sèche de l'échantillon ainsi compacté est déterminée pour chaque teneur en eau.</w:t>
      </w:r>
    </w:p>
    <w:p w:rsidR="00A963B6" w:rsidRPr="0068735C" w:rsidRDefault="00A963B6" w:rsidP="0039428F">
      <w:pPr>
        <w:spacing w:line="360" w:lineRule="auto"/>
        <w:ind w:firstLine="567"/>
        <w:rPr>
          <w:rFonts w:asciiTheme="majorBidi" w:hAnsiTheme="majorBidi" w:cstheme="majorBidi"/>
          <w:sz w:val="24"/>
          <w:szCs w:val="24"/>
        </w:rPr>
      </w:pPr>
      <w:r w:rsidRPr="0068735C">
        <w:rPr>
          <w:rFonts w:asciiTheme="majorBidi" w:hAnsiTheme="majorBidi" w:cstheme="majorBidi"/>
          <w:sz w:val="24"/>
          <w:szCs w:val="24"/>
        </w:rPr>
        <w:t xml:space="preserve">L’essai choisi pour notre étude est l’essai Proctor normal </w:t>
      </w:r>
      <w:proofErr w:type="spellStart"/>
      <w:r w:rsidRPr="0068735C">
        <w:rPr>
          <w:rFonts w:asciiTheme="majorBidi" w:hAnsiTheme="majorBidi" w:cstheme="majorBidi"/>
          <w:sz w:val="24"/>
          <w:szCs w:val="24"/>
        </w:rPr>
        <w:t>caril</w:t>
      </w:r>
      <w:proofErr w:type="spellEnd"/>
      <w:r w:rsidRPr="0068735C">
        <w:rPr>
          <w:rFonts w:asciiTheme="majorBidi" w:hAnsiTheme="majorBidi" w:cstheme="majorBidi"/>
          <w:sz w:val="24"/>
          <w:szCs w:val="24"/>
        </w:rPr>
        <w:t xml:space="preserve"> correspond à un compactage modéré, qui peut être reproduit assez facilement sur chantier.</w:t>
      </w:r>
    </w:p>
    <w:p w:rsidR="00A963B6" w:rsidRPr="0068735C" w:rsidRDefault="00A963B6" w:rsidP="0039428F">
      <w:pPr>
        <w:pStyle w:val="Titre3"/>
        <w:spacing w:before="0" w:line="360" w:lineRule="auto"/>
        <w:rPr>
          <w:color w:val="auto"/>
          <w:sz w:val="24"/>
          <w:szCs w:val="24"/>
        </w:rPr>
      </w:pPr>
      <w:bookmarkStart w:id="20" w:name="_Toc326838030"/>
      <w:r w:rsidRPr="0068735C">
        <w:rPr>
          <w:color w:val="auto"/>
          <w:sz w:val="24"/>
          <w:szCs w:val="24"/>
          <w:lang w:eastAsia="en-US" w:bidi="en-US"/>
        </w:rPr>
        <w:t xml:space="preserve">II.2.2.2 </w:t>
      </w:r>
      <w:r w:rsidRPr="0068735C">
        <w:rPr>
          <w:color w:val="auto"/>
          <w:sz w:val="24"/>
          <w:szCs w:val="24"/>
        </w:rPr>
        <w:t>Essai de portance C.B.R (</w:t>
      </w:r>
      <w:r w:rsidRPr="0068735C">
        <w:rPr>
          <w:rFonts w:asciiTheme="majorBidi" w:hAnsiTheme="majorBidi"/>
          <w:color w:val="auto"/>
          <w:spacing w:val="-4"/>
          <w:sz w:val="24"/>
          <w:szCs w:val="24"/>
        </w:rPr>
        <w:t>NF P 94-078)</w:t>
      </w:r>
      <w:r w:rsidRPr="0068735C">
        <w:rPr>
          <w:color w:val="auto"/>
          <w:sz w:val="24"/>
          <w:szCs w:val="24"/>
        </w:rPr>
        <w:t>:</w:t>
      </w:r>
      <w:bookmarkEnd w:id="20"/>
    </w:p>
    <w:p w:rsidR="00F75F5A" w:rsidRPr="0068735C" w:rsidRDefault="00A963B6" w:rsidP="00E371BB">
      <w:pPr>
        <w:spacing w:line="360" w:lineRule="auto"/>
        <w:ind w:firstLine="567"/>
        <w:rPr>
          <w:rFonts w:asciiTheme="majorBidi" w:hAnsiTheme="majorBidi" w:cstheme="majorBidi"/>
          <w:sz w:val="24"/>
          <w:szCs w:val="24"/>
        </w:rPr>
      </w:pPr>
      <w:r w:rsidRPr="0068735C">
        <w:rPr>
          <w:rFonts w:asciiTheme="majorBidi" w:hAnsiTheme="majorBidi" w:cstheme="majorBidi"/>
          <w:sz w:val="24"/>
          <w:szCs w:val="24"/>
        </w:rPr>
        <w:t xml:space="preserve">L’essai </w:t>
      </w:r>
      <w:r w:rsidR="00E7427E" w:rsidRPr="0068735C">
        <w:rPr>
          <w:rFonts w:asciiTheme="majorBidi" w:hAnsiTheme="majorBidi" w:cstheme="majorBidi"/>
          <w:sz w:val="24"/>
          <w:szCs w:val="24"/>
        </w:rPr>
        <w:t>consiste</w:t>
      </w:r>
      <w:r w:rsidRPr="0068735C">
        <w:rPr>
          <w:rFonts w:asciiTheme="majorBidi" w:hAnsiTheme="majorBidi" w:cstheme="majorBidi"/>
          <w:sz w:val="24"/>
          <w:szCs w:val="24"/>
        </w:rPr>
        <w:t xml:space="preserve"> à mesurer les forces à appliquer sur un poinçon cylindrique pour le faire pénétrer à vitesse constante dans une éprouvette de matériau. Les valeurs particulières des deux forces ayant provoqué deux enfoncements conventionnels sont respectivement rapportés aux valeurs des forces observées sur un matériau de référence pour les mêmes enfoncements</w:t>
      </w:r>
      <w:r w:rsidR="00375D03" w:rsidRPr="0068735C">
        <w:rPr>
          <w:rFonts w:asciiTheme="majorBidi" w:hAnsiTheme="majorBidi" w:cstheme="majorBidi"/>
          <w:sz w:val="24"/>
          <w:szCs w:val="24"/>
        </w:rPr>
        <w:t xml:space="preserve">, </w:t>
      </w:r>
    </w:p>
    <w:p w:rsidR="00CD448E" w:rsidRPr="0068735C" w:rsidRDefault="00CD448E" w:rsidP="00F75F5A">
      <w:pPr>
        <w:spacing w:line="360" w:lineRule="auto"/>
        <w:rPr>
          <w:rFonts w:asciiTheme="majorBidi" w:hAnsiTheme="majorBidi" w:cstheme="majorBidi"/>
          <w:sz w:val="24"/>
          <w:szCs w:val="24"/>
        </w:rPr>
      </w:pPr>
    </w:p>
    <w:p w:rsidR="00E371BB" w:rsidRPr="0068735C" w:rsidRDefault="00375D03" w:rsidP="00D26D7C">
      <w:pPr>
        <w:spacing w:line="360" w:lineRule="auto"/>
        <w:jc w:val="both"/>
        <w:rPr>
          <w:rFonts w:asciiTheme="majorBidi" w:hAnsiTheme="majorBidi" w:cstheme="majorBidi"/>
          <w:sz w:val="24"/>
          <w:szCs w:val="24"/>
        </w:rPr>
      </w:pPr>
      <w:proofErr w:type="gramStart"/>
      <w:r w:rsidRPr="0068735C">
        <w:rPr>
          <w:rFonts w:asciiTheme="majorBidi" w:hAnsiTheme="majorBidi" w:cstheme="majorBidi"/>
          <w:sz w:val="24"/>
          <w:szCs w:val="24"/>
        </w:rPr>
        <w:t>l</w:t>
      </w:r>
      <w:r w:rsidR="00A963B6" w:rsidRPr="0068735C">
        <w:rPr>
          <w:rFonts w:asciiTheme="majorBidi" w:hAnsiTheme="majorBidi" w:cstheme="majorBidi"/>
          <w:sz w:val="24"/>
          <w:szCs w:val="24"/>
        </w:rPr>
        <w:t>’indice</w:t>
      </w:r>
      <w:proofErr w:type="gramEnd"/>
      <w:r w:rsidR="00A963B6" w:rsidRPr="0068735C">
        <w:rPr>
          <w:rFonts w:asciiTheme="majorBidi" w:hAnsiTheme="majorBidi" w:cstheme="majorBidi"/>
          <w:sz w:val="24"/>
          <w:szCs w:val="24"/>
        </w:rPr>
        <w:t xml:space="preserve"> recherché est défini conventionnellement comme étant la plus grande valeur, exprimée en pourcentage, des deux rapports ainsi calculés.</w:t>
      </w:r>
    </w:p>
    <w:p w:rsidR="00A963B6" w:rsidRPr="0068735C" w:rsidRDefault="00A963B6" w:rsidP="00D26D7C">
      <w:pPr>
        <w:pStyle w:val="Titre4"/>
        <w:spacing w:before="0" w:line="360" w:lineRule="auto"/>
        <w:jc w:val="both"/>
        <w:rPr>
          <w:rFonts w:ascii="Times New Roman" w:hAnsi="Times New Roman" w:cs="Times New Roman"/>
          <w:i w:val="0"/>
          <w:color w:val="auto"/>
          <w:sz w:val="24"/>
          <w:szCs w:val="24"/>
        </w:rPr>
      </w:pPr>
      <w:r w:rsidRPr="0068735C">
        <w:rPr>
          <w:rFonts w:ascii="Times New Roman" w:hAnsi="Times New Roman" w:cs="Times New Roman"/>
          <w:i w:val="0"/>
          <w:color w:val="auto"/>
          <w:sz w:val="24"/>
          <w:szCs w:val="24"/>
        </w:rPr>
        <w:t>a) Essai C.B.R immédiat :</w:t>
      </w:r>
    </w:p>
    <w:p w:rsidR="00A963B6" w:rsidRPr="0068735C" w:rsidRDefault="00A963B6" w:rsidP="00D26D7C">
      <w:pPr>
        <w:spacing w:line="360" w:lineRule="auto"/>
        <w:ind w:firstLine="567"/>
        <w:jc w:val="both"/>
        <w:rPr>
          <w:rFonts w:asciiTheme="majorBidi" w:hAnsiTheme="majorBidi" w:cstheme="majorBidi"/>
          <w:sz w:val="24"/>
          <w:szCs w:val="24"/>
        </w:rPr>
      </w:pPr>
      <w:r w:rsidRPr="0068735C">
        <w:rPr>
          <w:rFonts w:asciiTheme="majorBidi" w:hAnsiTheme="majorBidi" w:cstheme="majorBidi"/>
          <w:sz w:val="24"/>
          <w:szCs w:val="24"/>
        </w:rPr>
        <w:t>On pose l’éprouvette sur la presse en position centrée par rapport au piston de poinçonnement et on procède au poinçonnement de la manière suivante :</w:t>
      </w:r>
    </w:p>
    <w:p w:rsidR="00A963B6" w:rsidRPr="0068735C" w:rsidRDefault="00A963B6" w:rsidP="00D26D7C">
      <w:pPr>
        <w:spacing w:line="360" w:lineRule="auto"/>
        <w:ind w:firstLine="567"/>
        <w:jc w:val="both"/>
        <w:rPr>
          <w:rFonts w:asciiTheme="majorBidi" w:hAnsiTheme="majorBidi" w:cstheme="majorBidi"/>
          <w:sz w:val="24"/>
          <w:szCs w:val="24"/>
        </w:rPr>
      </w:pPr>
      <w:r w:rsidRPr="0068735C">
        <w:rPr>
          <w:rFonts w:asciiTheme="majorBidi" w:hAnsiTheme="majorBidi" w:cstheme="majorBidi"/>
          <w:sz w:val="24"/>
          <w:szCs w:val="24"/>
        </w:rPr>
        <w:t>Approcher la face supérieure de l’éprouvette vers le piston, à l’aide des dispositifs prévus sur la presse jusqu'à ce que le piston vienne affleurer le matériau.</w:t>
      </w:r>
    </w:p>
    <w:p w:rsidR="00A963B6" w:rsidRPr="0068735C" w:rsidRDefault="00A963B6" w:rsidP="00D26D7C">
      <w:pPr>
        <w:spacing w:line="360" w:lineRule="auto"/>
        <w:ind w:firstLine="567"/>
        <w:jc w:val="both"/>
        <w:rPr>
          <w:rFonts w:asciiTheme="majorBidi" w:hAnsiTheme="majorBidi" w:cstheme="majorBidi"/>
          <w:sz w:val="24"/>
          <w:szCs w:val="24"/>
        </w:rPr>
      </w:pPr>
      <w:r w:rsidRPr="0068735C">
        <w:rPr>
          <w:rFonts w:asciiTheme="majorBidi" w:hAnsiTheme="majorBidi" w:cstheme="majorBidi"/>
          <w:sz w:val="24"/>
          <w:szCs w:val="24"/>
        </w:rPr>
        <w:t>Régler la mise à zéro du dispositif dynamométrique et celle du comparateur mesurant                l’enfoncement du poinçon</w:t>
      </w:r>
      <w:r w:rsidR="00375D03" w:rsidRPr="0068735C">
        <w:rPr>
          <w:rFonts w:asciiTheme="majorBidi" w:hAnsiTheme="majorBidi" w:cstheme="majorBidi"/>
          <w:sz w:val="24"/>
          <w:szCs w:val="24"/>
        </w:rPr>
        <w:t xml:space="preserve"> (figure II.7)</w:t>
      </w:r>
      <w:r w:rsidRPr="0068735C">
        <w:rPr>
          <w:rFonts w:asciiTheme="majorBidi" w:hAnsiTheme="majorBidi" w:cstheme="majorBidi"/>
          <w:sz w:val="24"/>
          <w:szCs w:val="24"/>
        </w:rPr>
        <w:t>.</w:t>
      </w:r>
    </w:p>
    <w:p w:rsidR="00A963B6" w:rsidRPr="0068735C" w:rsidRDefault="00A963B6" w:rsidP="00D26D7C">
      <w:pPr>
        <w:spacing w:line="360" w:lineRule="auto"/>
        <w:jc w:val="both"/>
        <w:rPr>
          <w:rFonts w:asciiTheme="majorBidi" w:hAnsiTheme="majorBidi" w:cstheme="majorBidi"/>
          <w:sz w:val="24"/>
          <w:szCs w:val="24"/>
        </w:rPr>
      </w:pPr>
      <w:r w:rsidRPr="0068735C">
        <w:rPr>
          <w:rFonts w:asciiTheme="majorBidi" w:hAnsiTheme="majorBidi" w:cstheme="majorBidi"/>
          <w:sz w:val="24"/>
          <w:szCs w:val="24"/>
        </w:rPr>
        <w:t xml:space="preserve">         Noter les efforts de poinçonnement correspondant aux enfoncements suivants : 0,625 ; 1,25 ;  2 ; 2,5 ; 5 ; 7,5 et 10 mm.</w:t>
      </w:r>
    </w:p>
    <w:p w:rsidR="00A963B6" w:rsidRPr="0068735C" w:rsidRDefault="00A963B6" w:rsidP="00D26D7C">
      <w:pPr>
        <w:spacing w:line="360" w:lineRule="auto"/>
        <w:jc w:val="both"/>
        <w:rPr>
          <w:rFonts w:asciiTheme="majorBidi" w:hAnsiTheme="majorBidi" w:cstheme="majorBidi"/>
          <w:sz w:val="24"/>
          <w:szCs w:val="24"/>
        </w:rPr>
      </w:pPr>
      <w:r w:rsidRPr="0068735C">
        <w:rPr>
          <w:rFonts w:asciiTheme="majorBidi" w:hAnsiTheme="majorBidi" w:cstheme="majorBidi"/>
          <w:sz w:val="24"/>
          <w:szCs w:val="24"/>
        </w:rPr>
        <w:t>L’indice recherché est par conversion la plus grande des deux valeurs suivantes :</w:t>
      </w:r>
    </w:p>
    <w:p w:rsidR="00A963B6" w:rsidRPr="0068735C" w:rsidRDefault="00A963B6" w:rsidP="0039428F">
      <w:pPr>
        <w:spacing w:line="360" w:lineRule="auto"/>
        <w:jc w:val="both"/>
        <w:rPr>
          <w:rFonts w:asciiTheme="majorBidi" w:hAnsiTheme="majorBidi" w:cstheme="majorBidi"/>
          <w:spacing w:val="-3"/>
          <w:sz w:val="24"/>
          <w:szCs w:val="24"/>
        </w:rPr>
      </w:pPr>
      <m:oMathPara>
        <m:oMath>
          <m:r>
            <w:rPr>
              <w:rFonts w:ascii="Cambria Math" w:hAnsi="Cambria Math" w:cstheme="majorBidi"/>
              <w:spacing w:val="-3"/>
              <w:sz w:val="24"/>
              <w:szCs w:val="24"/>
            </w:rPr>
            <m:t xml:space="preserve">= </m:t>
          </m:r>
          <m:f>
            <m:fPr>
              <m:ctrlPr>
                <w:rPr>
                  <w:rFonts w:ascii="Cambria Math" w:hAnsi="Cambria Math" w:cstheme="majorBidi"/>
                  <w:i/>
                  <w:spacing w:val="-3"/>
                  <w:sz w:val="24"/>
                  <w:szCs w:val="24"/>
                </w:rPr>
              </m:ctrlPr>
            </m:fPr>
            <m:num>
              <m:r>
                <m:rPr>
                  <m:sty m:val="p"/>
                </m:rPr>
                <w:rPr>
                  <w:rFonts w:ascii="Cambria Math" w:hAnsi="Cambria Math" w:cstheme="majorBidi"/>
                  <w:sz w:val="24"/>
                  <w:szCs w:val="24"/>
                </w:rPr>
                <m:t>Effort de pénétration à 2.5 mm d’enfoncement (KN) × 100</m:t>
              </m:r>
            </m:num>
            <m:den>
              <m:r>
                <m:rPr>
                  <m:sty m:val="p"/>
                </m:rPr>
                <w:rPr>
                  <w:rFonts w:ascii="Cambria Math" w:hAnsi="Cambria Math" w:cstheme="majorBidi"/>
                  <w:spacing w:val="2"/>
                  <w:sz w:val="24"/>
                  <w:szCs w:val="24"/>
                </w:rPr>
                <m:t>13,35</m:t>
              </m:r>
            </m:den>
          </m:f>
        </m:oMath>
      </m:oMathPara>
    </w:p>
    <w:p w:rsidR="00A963B6" w:rsidRPr="0068735C" w:rsidRDefault="00A963B6" w:rsidP="0039428F">
      <w:pPr>
        <w:spacing w:line="360" w:lineRule="auto"/>
        <w:jc w:val="lowKashida"/>
        <w:rPr>
          <w:rFonts w:asciiTheme="majorBidi" w:hAnsiTheme="majorBidi" w:cstheme="majorBidi"/>
          <w:sz w:val="24"/>
          <w:szCs w:val="24"/>
        </w:rPr>
      </w:pPr>
    </w:p>
    <w:p w:rsidR="00A963B6" w:rsidRPr="0068735C" w:rsidRDefault="00A963B6" w:rsidP="0039428F">
      <w:pPr>
        <w:spacing w:line="360" w:lineRule="auto"/>
        <w:jc w:val="lowKashida"/>
        <w:rPr>
          <w:rFonts w:asciiTheme="majorBidi" w:hAnsiTheme="majorBidi" w:cstheme="majorBidi"/>
          <w:spacing w:val="-3"/>
          <w:sz w:val="24"/>
          <w:szCs w:val="24"/>
        </w:rPr>
      </w:pPr>
      <m:oMathPara>
        <m:oMath>
          <m:r>
            <w:rPr>
              <w:rFonts w:ascii="Cambria Math" w:hAnsi="Cambria Math" w:cstheme="majorBidi"/>
              <w:spacing w:val="-3"/>
              <w:sz w:val="24"/>
              <w:szCs w:val="24"/>
            </w:rPr>
            <m:t xml:space="preserve">= </m:t>
          </m:r>
          <m:f>
            <m:fPr>
              <m:ctrlPr>
                <w:rPr>
                  <w:rFonts w:ascii="Cambria Math" w:hAnsi="Cambria Math" w:cstheme="majorBidi"/>
                  <w:i/>
                  <w:spacing w:val="-3"/>
                  <w:sz w:val="24"/>
                  <w:szCs w:val="24"/>
                </w:rPr>
              </m:ctrlPr>
            </m:fPr>
            <m:num>
              <m:r>
                <m:rPr>
                  <m:sty m:val="p"/>
                </m:rPr>
                <w:rPr>
                  <w:rFonts w:ascii="Cambria Math" w:hAnsi="Cambria Math" w:cstheme="majorBidi"/>
                  <w:sz w:val="24"/>
                  <w:szCs w:val="24"/>
                </w:rPr>
                <m:t>Effort de pénétration à 5.0 mm d’enfoncement (KN) × 100</m:t>
              </m:r>
            </m:num>
            <m:den>
              <m:r>
                <m:rPr>
                  <m:sty m:val="p"/>
                </m:rPr>
                <w:rPr>
                  <w:rFonts w:ascii="Cambria Math" w:hAnsi="Cambria Math" w:cstheme="majorBidi"/>
                  <w:spacing w:val="2"/>
                  <w:sz w:val="24"/>
                  <w:szCs w:val="24"/>
                </w:rPr>
                <m:t>19,93</m:t>
              </m:r>
            </m:den>
          </m:f>
        </m:oMath>
      </m:oMathPara>
    </w:p>
    <w:p w:rsidR="00A963B6" w:rsidRPr="0068735C" w:rsidRDefault="00A963B6" w:rsidP="0039428F">
      <w:pPr>
        <w:spacing w:line="360" w:lineRule="auto"/>
        <w:jc w:val="center"/>
        <w:rPr>
          <w:rFonts w:asciiTheme="majorBidi" w:hAnsiTheme="majorBidi" w:cstheme="majorBidi"/>
          <w:spacing w:val="-3"/>
          <w:sz w:val="24"/>
          <w:szCs w:val="24"/>
        </w:rPr>
      </w:pPr>
      <w:r w:rsidRPr="0068735C">
        <w:rPr>
          <w:rFonts w:asciiTheme="majorBidi" w:hAnsiTheme="majorBidi" w:cstheme="majorBidi"/>
          <w:noProof/>
          <w:spacing w:val="-3"/>
          <w:sz w:val="24"/>
          <w:szCs w:val="24"/>
          <w:lang w:eastAsia="fr-FR"/>
        </w:rPr>
        <w:drawing>
          <wp:inline distT="0" distB="0" distL="0" distR="0">
            <wp:extent cx="1885950" cy="2514600"/>
            <wp:effectExtent l="19050" t="0" r="0" b="0"/>
            <wp:docPr id="81" name="Imag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RF.jp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87493" cy="2516657"/>
                    </a:xfrm>
                    <a:prstGeom prst="rect">
                      <a:avLst/>
                    </a:prstGeom>
                  </pic:spPr>
                </pic:pic>
              </a:graphicData>
            </a:graphic>
          </wp:inline>
        </w:drawing>
      </w:r>
    </w:p>
    <w:p w:rsidR="00A963B6" w:rsidRPr="0068735C" w:rsidRDefault="00A963B6" w:rsidP="0039428F">
      <w:pPr>
        <w:spacing w:line="360" w:lineRule="auto"/>
        <w:jc w:val="center"/>
        <w:rPr>
          <w:rFonts w:asciiTheme="majorBidi" w:hAnsiTheme="majorBidi" w:cstheme="majorBidi"/>
          <w:b/>
          <w:spacing w:val="-3"/>
        </w:rPr>
      </w:pPr>
      <w:r w:rsidRPr="0068735C">
        <w:rPr>
          <w:rFonts w:asciiTheme="majorBidi" w:hAnsiTheme="majorBidi" w:cstheme="majorBidi"/>
          <w:b/>
          <w:spacing w:val="-3"/>
        </w:rPr>
        <w:t>Figure II.</w:t>
      </w:r>
      <w:r w:rsidR="00375D03" w:rsidRPr="0068735C">
        <w:rPr>
          <w:rFonts w:asciiTheme="majorBidi" w:hAnsiTheme="majorBidi" w:cstheme="majorBidi"/>
          <w:b/>
          <w:spacing w:val="-3"/>
        </w:rPr>
        <w:t>7</w:t>
      </w:r>
      <w:r w:rsidR="00AC1618" w:rsidRPr="0068735C">
        <w:rPr>
          <w:rFonts w:asciiTheme="majorBidi" w:hAnsiTheme="majorBidi" w:cstheme="majorBidi"/>
          <w:b/>
          <w:spacing w:val="-3"/>
        </w:rPr>
        <w:t xml:space="preserve"> : </w:t>
      </w:r>
      <w:r w:rsidR="00375D03" w:rsidRPr="0068735C">
        <w:rPr>
          <w:rFonts w:asciiTheme="majorBidi" w:hAnsiTheme="majorBidi" w:cstheme="majorBidi"/>
          <w:b/>
          <w:spacing w:val="-3"/>
        </w:rPr>
        <w:t>A</w:t>
      </w:r>
      <w:r w:rsidRPr="0068735C">
        <w:rPr>
          <w:rFonts w:asciiTheme="majorBidi" w:hAnsiTheme="majorBidi" w:cstheme="majorBidi"/>
          <w:b/>
          <w:spacing w:val="-3"/>
        </w:rPr>
        <w:t>ppareil de poinçonnement (essai CBR).</w:t>
      </w:r>
    </w:p>
    <w:p w:rsidR="00A963B6" w:rsidRPr="0068735C" w:rsidRDefault="00A963B6" w:rsidP="0039428F">
      <w:pPr>
        <w:pStyle w:val="Titre4"/>
        <w:spacing w:before="0" w:line="360" w:lineRule="auto"/>
        <w:rPr>
          <w:i w:val="0"/>
          <w:color w:val="auto"/>
          <w:sz w:val="24"/>
          <w:szCs w:val="24"/>
        </w:rPr>
      </w:pPr>
      <w:r w:rsidRPr="0068735C">
        <w:rPr>
          <w:i w:val="0"/>
          <w:color w:val="auto"/>
          <w:sz w:val="24"/>
          <w:szCs w:val="24"/>
        </w:rPr>
        <w:lastRenderedPageBreak/>
        <w:t>b) Essai C.B.R après imbibition :</w:t>
      </w:r>
    </w:p>
    <w:p w:rsidR="00A963B6" w:rsidRPr="0068735C" w:rsidRDefault="00A963B6" w:rsidP="0039428F">
      <w:pPr>
        <w:pStyle w:val="Paragraphedeliste"/>
        <w:spacing w:line="360" w:lineRule="auto"/>
        <w:ind w:left="0" w:firstLine="567"/>
        <w:jc w:val="both"/>
        <w:rPr>
          <w:rFonts w:asciiTheme="majorBidi" w:hAnsiTheme="majorBidi" w:cstheme="majorBidi"/>
          <w:sz w:val="24"/>
          <w:szCs w:val="24"/>
        </w:rPr>
      </w:pPr>
      <w:r w:rsidRPr="0068735C">
        <w:rPr>
          <w:rFonts w:asciiTheme="majorBidi" w:hAnsiTheme="majorBidi" w:cstheme="majorBidi"/>
          <w:sz w:val="24"/>
          <w:szCs w:val="24"/>
        </w:rPr>
        <w:t xml:space="preserve">Après quatre (4) jours d’immersion (± 2 h) on mesure la hauteur de gonflement </w:t>
      </w:r>
      <w:proofErr w:type="spellStart"/>
      <w:r w:rsidRPr="0068735C">
        <w:rPr>
          <w:rFonts w:asciiTheme="majorBidi" w:hAnsiTheme="majorBidi" w:cstheme="majorBidi"/>
          <w:sz w:val="24"/>
          <w:szCs w:val="24"/>
        </w:rPr>
        <w:t>Δh</w:t>
      </w:r>
      <w:proofErr w:type="spellEnd"/>
      <w:r w:rsidRPr="0068735C">
        <w:rPr>
          <w:rFonts w:asciiTheme="majorBidi" w:hAnsiTheme="majorBidi" w:cstheme="majorBidi"/>
          <w:sz w:val="24"/>
          <w:szCs w:val="24"/>
        </w:rPr>
        <w:t xml:space="preserve"> indiquée par le comparateur, on extrait l’ensemble hors du bac d’immersion en observant un temps d’égouttage de 15 minutes puis on dépose le trépied, le comparateur, les surcharges et le disque de gonflement</w:t>
      </w:r>
      <w:r w:rsidR="00F75F5A" w:rsidRPr="0068735C">
        <w:rPr>
          <w:rFonts w:asciiTheme="majorBidi" w:hAnsiTheme="majorBidi" w:cstheme="majorBidi"/>
          <w:sz w:val="24"/>
          <w:szCs w:val="24"/>
        </w:rPr>
        <w:t xml:space="preserve"> (figure II.8)</w:t>
      </w:r>
      <w:r w:rsidRPr="0068735C">
        <w:rPr>
          <w:rFonts w:asciiTheme="majorBidi" w:hAnsiTheme="majorBidi" w:cstheme="majorBidi"/>
          <w:sz w:val="24"/>
          <w:szCs w:val="24"/>
        </w:rPr>
        <w:t>. La même procédure que la détermination de l’indice C.B.R Immédiat.</w:t>
      </w:r>
    </w:p>
    <w:p w:rsidR="00A963B6" w:rsidRPr="0068735C" w:rsidRDefault="00A963B6" w:rsidP="0039428F">
      <w:pPr>
        <w:pStyle w:val="Paragraphedeliste"/>
        <w:spacing w:line="360" w:lineRule="auto"/>
        <w:ind w:left="0" w:firstLine="567"/>
        <w:jc w:val="both"/>
        <w:rPr>
          <w:rFonts w:asciiTheme="majorBidi" w:hAnsiTheme="majorBidi" w:cstheme="majorBidi"/>
          <w:sz w:val="24"/>
          <w:szCs w:val="24"/>
        </w:rPr>
      </w:pPr>
      <w:r w:rsidRPr="0068735C">
        <w:rPr>
          <w:rFonts w:asciiTheme="majorBidi" w:hAnsiTheme="majorBidi" w:cstheme="majorBidi"/>
          <w:sz w:val="24"/>
          <w:szCs w:val="24"/>
        </w:rPr>
        <w:t xml:space="preserve">La valeur  de déformation de l’éprouvette </w:t>
      </w:r>
      <w:proofErr w:type="gramStart"/>
      <w:r w:rsidRPr="0068735C">
        <w:rPr>
          <w:rFonts w:asciiTheme="majorBidi" w:hAnsiTheme="majorBidi" w:cstheme="majorBidi"/>
          <w:sz w:val="24"/>
          <w:szCs w:val="24"/>
        </w:rPr>
        <w:t>g ,</w:t>
      </w:r>
      <w:proofErr w:type="gramEnd"/>
      <w:r w:rsidRPr="0068735C">
        <w:rPr>
          <w:rFonts w:asciiTheme="majorBidi" w:hAnsiTheme="majorBidi" w:cstheme="majorBidi"/>
          <w:sz w:val="24"/>
          <w:szCs w:val="24"/>
        </w:rPr>
        <w:t xml:space="preserve"> exprimé </w:t>
      </w:r>
      <w:r w:rsidR="00F75F5A" w:rsidRPr="0068735C">
        <w:rPr>
          <w:rFonts w:asciiTheme="majorBidi" w:hAnsiTheme="majorBidi" w:cstheme="majorBidi"/>
          <w:sz w:val="24"/>
          <w:szCs w:val="24"/>
        </w:rPr>
        <w:t>e</w:t>
      </w:r>
      <w:r w:rsidRPr="0068735C">
        <w:rPr>
          <w:rFonts w:asciiTheme="majorBidi" w:hAnsiTheme="majorBidi" w:cstheme="majorBidi"/>
          <w:sz w:val="24"/>
          <w:szCs w:val="24"/>
        </w:rPr>
        <w:t>n pourcentage :</w:t>
      </w:r>
    </w:p>
    <w:p w:rsidR="00A963B6" w:rsidRPr="0068735C" w:rsidRDefault="00A963B6" w:rsidP="0039428F">
      <w:pPr>
        <w:pStyle w:val="Paragraphedeliste"/>
        <w:spacing w:line="360" w:lineRule="auto"/>
        <w:jc w:val="center"/>
        <w:rPr>
          <w:rFonts w:asciiTheme="majorBidi" w:hAnsiTheme="majorBidi" w:cstheme="majorBidi"/>
          <w:b/>
          <w:sz w:val="24"/>
          <w:szCs w:val="24"/>
        </w:rPr>
      </w:pPr>
      <m:oMathPara>
        <m:oMath>
          <m:r>
            <m:rPr>
              <m:sty m:val="b"/>
            </m:rPr>
            <w:rPr>
              <w:rFonts w:ascii="Cambria Math" w:hAnsi="Cambria Math"/>
              <w:sz w:val="24"/>
              <w:szCs w:val="24"/>
            </w:rPr>
            <m:t>g</m:t>
          </m:r>
          <m:d>
            <m:dPr>
              <m:ctrlPr>
                <w:rPr>
                  <w:rFonts w:ascii="Cambria Math" w:hAnsi="Cambria Math"/>
                  <w:b/>
                  <w:sz w:val="24"/>
                  <w:szCs w:val="24"/>
                </w:rPr>
              </m:ctrlPr>
            </m:dPr>
            <m:e>
              <m:r>
                <m:rPr>
                  <m:sty m:val="b"/>
                </m:rPr>
                <w:rPr>
                  <w:rFonts w:ascii="Cambria Math" w:hAnsi="Cambria Math"/>
                  <w:sz w:val="24"/>
                  <w:szCs w:val="24"/>
                </w:rPr>
                <m:t>%</m:t>
              </m:r>
            </m:e>
          </m:d>
          <m:r>
            <m:rPr>
              <m:sty m:val="b"/>
            </m:rPr>
            <w:rPr>
              <w:rFonts w:ascii="Cambria Math" w:hAnsi="Cambria Math"/>
              <w:sz w:val="24"/>
              <w:szCs w:val="24"/>
            </w:rPr>
            <m:t xml:space="preserve">= </m:t>
          </m:r>
          <m:d>
            <m:dPr>
              <m:ctrlPr>
                <w:rPr>
                  <w:rFonts w:ascii="Cambria Math" w:hAnsi="Cambria Math"/>
                  <w:b/>
                  <w:sz w:val="24"/>
                  <w:szCs w:val="24"/>
                </w:rPr>
              </m:ctrlPr>
            </m:dPr>
            <m:e>
              <m:f>
                <m:fPr>
                  <m:ctrlPr>
                    <w:rPr>
                      <w:rFonts w:ascii="Cambria Math" w:hAnsi="Cambria Math"/>
                      <w:b/>
                      <w:sz w:val="24"/>
                      <w:szCs w:val="24"/>
                    </w:rPr>
                  </m:ctrlPr>
                </m:fPr>
                <m:num>
                  <m:r>
                    <m:rPr>
                      <m:sty m:val="b"/>
                    </m:rPr>
                    <w:rPr>
                      <w:rFonts w:ascii="Cambria Math" w:hAnsi="Cambria Math"/>
                      <w:sz w:val="24"/>
                      <w:szCs w:val="24"/>
                    </w:rPr>
                    <m:t>∆h</m:t>
                  </m:r>
                </m:num>
                <m:den>
                  <m:r>
                    <m:rPr>
                      <m:sty m:val="bi"/>
                    </m:rPr>
                    <w:rPr>
                      <w:rFonts w:ascii="Cambria Math" w:hAnsi="Cambria Math"/>
                      <w:sz w:val="24"/>
                      <w:szCs w:val="24"/>
                    </w:rPr>
                    <m:t>h</m:t>
                  </m:r>
                </m:den>
              </m:f>
            </m:e>
          </m:d>
          <m:r>
            <m:rPr>
              <m:sty m:val="b"/>
            </m:rPr>
            <w:rPr>
              <w:rFonts w:ascii="Cambria Math" w:hAnsi="Cambria Math"/>
              <w:sz w:val="24"/>
              <w:szCs w:val="24"/>
            </w:rPr>
            <m:t>× 100</m:t>
          </m:r>
        </m:oMath>
      </m:oMathPara>
    </w:p>
    <w:p w:rsidR="00A963B6" w:rsidRPr="0068735C" w:rsidRDefault="00E6135C" w:rsidP="0039428F">
      <w:pPr>
        <w:spacing w:line="360" w:lineRule="auto"/>
        <w:ind w:firstLine="567"/>
        <w:rPr>
          <w:rFonts w:asciiTheme="majorBidi" w:hAnsiTheme="majorBidi" w:cstheme="majorBidi"/>
          <w:sz w:val="24"/>
          <w:szCs w:val="24"/>
        </w:rPr>
      </w:pPr>
      <w:r w:rsidRPr="0068735C">
        <w:rPr>
          <w:rFonts w:asciiTheme="majorBidi" w:hAnsiTheme="majorBidi" w:cstheme="majorBidi"/>
          <w:sz w:val="24"/>
          <w:szCs w:val="24"/>
        </w:rPr>
        <w:t>On suivra la même procédure que celle de la</w:t>
      </w:r>
      <w:r w:rsidR="00A963B6" w:rsidRPr="0068735C">
        <w:rPr>
          <w:rFonts w:asciiTheme="majorBidi" w:hAnsiTheme="majorBidi" w:cstheme="majorBidi"/>
          <w:sz w:val="24"/>
          <w:szCs w:val="24"/>
        </w:rPr>
        <w:t xml:space="preserve"> détermination de l’indice C.B.R  Immédiat.</w:t>
      </w:r>
    </w:p>
    <w:p w:rsidR="00A963B6" w:rsidRPr="0068735C" w:rsidRDefault="00A963B6" w:rsidP="00F75F5A">
      <w:pPr>
        <w:spacing w:line="360" w:lineRule="auto"/>
        <w:ind w:firstLine="567"/>
        <w:jc w:val="center"/>
        <w:rPr>
          <w:rFonts w:asciiTheme="majorBidi" w:hAnsiTheme="majorBidi" w:cstheme="majorBidi"/>
          <w:sz w:val="24"/>
          <w:szCs w:val="24"/>
        </w:rPr>
      </w:pPr>
      <w:r w:rsidRPr="0068735C">
        <w:rPr>
          <w:rFonts w:asciiTheme="majorBidi" w:hAnsiTheme="majorBidi" w:cstheme="majorBidi"/>
          <w:noProof/>
          <w:sz w:val="24"/>
          <w:szCs w:val="24"/>
          <w:lang w:eastAsia="fr-FR"/>
        </w:rPr>
        <w:drawing>
          <wp:inline distT="0" distB="0" distL="0" distR="0">
            <wp:extent cx="2974802" cy="2090057"/>
            <wp:effectExtent l="0" t="0" r="0" b="5715"/>
            <wp:docPr id="82" name="Imag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r.jpg"/>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79420" cy="2093302"/>
                    </a:xfrm>
                    <a:prstGeom prst="rect">
                      <a:avLst/>
                    </a:prstGeom>
                  </pic:spPr>
                </pic:pic>
              </a:graphicData>
            </a:graphic>
          </wp:inline>
        </w:drawing>
      </w:r>
    </w:p>
    <w:p w:rsidR="00652632" w:rsidRPr="0068735C" w:rsidRDefault="00A963B6" w:rsidP="00F75F5A">
      <w:pPr>
        <w:tabs>
          <w:tab w:val="left" w:pos="570"/>
        </w:tabs>
        <w:spacing w:line="360" w:lineRule="auto"/>
        <w:jc w:val="center"/>
        <w:rPr>
          <w:rFonts w:asciiTheme="majorBidi" w:hAnsiTheme="majorBidi" w:cstheme="majorBidi"/>
          <w:b/>
          <w:spacing w:val="-3"/>
        </w:rPr>
      </w:pPr>
      <w:r w:rsidRPr="0068735C">
        <w:rPr>
          <w:rFonts w:ascii="Times New Roman" w:hAnsi="Times New Roman" w:cs="Times New Roman"/>
          <w:b/>
        </w:rPr>
        <w:t>Figure II.</w:t>
      </w:r>
      <w:r w:rsidR="00F75F5A" w:rsidRPr="0068735C">
        <w:rPr>
          <w:rFonts w:ascii="Times New Roman" w:hAnsi="Times New Roman" w:cs="Times New Roman"/>
          <w:b/>
        </w:rPr>
        <w:t>8</w:t>
      </w:r>
      <w:r w:rsidRPr="0068735C">
        <w:rPr>
          <w:rFonts w:ascii="Times New Roman" w:hAnsi="Times New Roman" w:cs="Times New Roman"/>
          <w:b/>
        </w:rPr>
        <w:t> </w:t>
      </w:r>
      <w:r w:rsidRPr="0068735C">
        <w:rPr>
          <w:rFonts w:asciiTheme="majorBidi" w:hAnsiTheme="majorBidi" w:cstheme="majorBidi"/>
          <w:b/>
          <w:spacing w:val="-3"/>
        </w:rPr>
        <w:t xml:space="preserve">: </w:t>
      </w:r>
      <w:r w:rsidR="002B26EF" w:rsidRPr="0068735C">
        <w:rPr>
          <w:rFonts w:asciiTheme="majorBidi" w:hAnsiTheme="majorBidi" w:cstheme="majorBidi"/>
          <w:b/>
          <w:spacing w:val="-3"/>
        </w:rPr>
        <w:t>I</w:t>
      </w:r>
      <w:r w:rsidR="00E6135C" w:rsidRPr="0068735C">
        <w:rPr>
          <w:rFonts w:asciiTheme="majorBidi" w:hAnsiTheme="majorBidi" w:cstheme="majorBidi"/>
          <w:b/>
          <w:spacing w:val="-3"/>
        </w:rPr>
        <w:t>mbibition des échantillons</w:t>
      </w:r>
      <w:r w:rsidRPr="0068735C">
        <w:rPr>
          <w:rFonts w:asciiTheme="majorBidi" w:hAnsiTheme="majorBidi" w:cstheme="majorBidi"/>
          <w:b/>
          <w:spacing w:val="-3"/>
        </w:rPr>
        <w:t xml:space="preserve"> (essai CBR).</w:t>
      </w:r>
    </w:p>
    <w:p w:rsidR="00A963B6" w:rsidRPr="0068735C" w:rsidRDefault="00A963B6" w:rsidP="00F75F5A">
      <w:pPr>
        <w:tabs>
          <w:tab w:val="left" w:pos="570"/>
        </w:tabs>
        <w:spacing w:line="360" w:lineRule="auto"/>
        <w:jc w:val="center"/>
        <w:rPr>
          <w:b/>
        </w:rPr>
      </w:pPr>
    </w:p>
    <w:p w:rsidR="00A963B6" w:rsidRPr="0068735C" w:rsidRDefault="00A963B6" w:rsidP="0039428F">
      <w:pPr>
        <w:pStyle w:val="Titre3"/>
        <w:spacing w:before="0" w:line="360" w:lineRule="auto"/>
        <w:rPr>
          <w:rFonts w:ascii="Times New Roman" w:hAnsi="Times New Roman" w:cs="Times New Roman"/>
          <w:color w:val="auto"/>
          <w:sz w:val="24"/>
          <w:szCs w:val="24"/>
        </w:rPr>
      </w:pPr>
      <w:bookmarkStart w:id="21" w:name="_Toc326838031"/>
      <w:r w:rsidRPr="0068735C">
        <w:rPr>
          <w:rFonts w:ascii="Times New Roman" w:hAnsi="Times New Roman" w:cs="Times New Roman"/>
          <w:color w:val="auto"/>
          <w:sz w:val="24"/>
          <w:szCs w:val="24"/>
          <w:lang w:eastAsia="en-US" w:bidi="en-US"/>
        </w:rPr>
        <w:t xml:space="preserve">II.2.2.3 </w:t>
      </w:r>
      <w:r w:rsidRPr="0068735C">
        <w:rPr>
          <w:rFonts w:ascii="Times New Roman" w:hAnsi="Times New Roman" w:cs="Times New Roman"/>
          <w:color w:val="auto"/>
          <w:sz w:val="24"/>
          <w:szCs w:val="24"/>
        </w:rPr>
        <w:t>Essai de cisaillement direct (NF P 94-071-1</w:t>
      </w:r>
      <w:r w:rsidRPr="0068735C">
        <w:rPr>
          <w:rFonts w:asciiTheme="majorBidi" w:hAnsiTheme="majorBidi"/>
          <w:color w:val="auto"/>
          <w:spacing w:val="-4"/>
          <w:sz w:val="24"/>
          <w:szCs w:val="24"/>
        </w:rPr>
        <w:t>)</w:t>
      </w:r>
      <w:r w:rsidRPr="0068735C">
        <w:rPr>
          <w:rFonts w:ascii="Times New Roman" w:hAnsi="Times New Roman" w:cs="Times New Roman"/>
          <w:color w:val="auto"/>
          <w:sz w:val="24"/>
          <w:szCs w:val="24"/>
        </w:rPr>
        <w:t>:</w:t>
      </w:r>
      <w:bookmarkEnd w:id="21"/>
    </w:p>
    <w:p w:rsidR="00E6135C" w:rsidRPr="0068735C" w:rsidRDefault="00DE40F1" w:rsidP="00DE40F1">
      <w:pPr>
        <w:spacing w:after="0" w:line="360" w:lineRule="auto"/>
        <w:ind w:firstLine="567"/>
        <w:jc w:val="both"/>
        <w:rPr>
          <w:rFonts w:asciiTheme="majorBidi" w:hAnsiTheme="majorBidi" w:cstheme="majorBidi"/>
          <w:sz w:val="24"/>
          <w:szCs w:val="24"/>
        </w:rPr>
      </w:pPr>
      <w:r w:rsidRPr="0068735C">
        <w:rPr>
          <w:rFonts w:asciiTheme="majorBidi" w:eastAsia="Times New Roman" w:hAnsiTheme="majorBidi" w:cstheme="majorBidi"/>
          <w:sz w:val="24"/>
          <w:szCs w:val="24"/>
        </w:rPr>
        <w:t xml:space="preserve">L’essai s’effectue sur une éprouvette de sol placée dans une boite de cisaillement constituée de deux </w:t>
      </w:r>
      <w:proofErr w:type="spellStart"/>
      <w:r w:rsidRPr="0068735C">
        <w:rPr>
          <w:rFonts w:asciiTheme="majorBidi" w:eastAsia="Times New Roman" w:hAnsiTheme="majorBidi" w:cstheme="majorBidi"/>
          <w:sz w:val="24"/>
          <w:szCs w:val="24"/>
        </w:rPr>
        <w:t>demi-boites</w:t>
      </w:r>
      <w:proofErr w:type="spellEnd"/>
      <w:r w:rsidRPr="0068735C">
        <w:rPr>
          <w:rFonts w:asciiTheme="majorBidi" w:eastAsia="Times New Roman" w:hAnsiTheme="majorBidi" w:cstheme="majorBidi"/>
          <w:sz w:val="24"/>
          <w:szCs w:val="24"/>
        </w:rPr>
        <w:t xml:space="preserve"> indépendantes, dans notre cas le but est de déterminer l’effort de cisaillement. L’échantillon de sol est préparé </w:t>
      </w:r>
      <w:r w:rsidRPr="0068735C">
        <w:rPr>
          <w:rFonts w:asciiTheme="majorBidi" w:hAnsiTheme="majorBidi" w:cstheme="majorBidi"/>
          <w:sz w:val="24"/>
          <w:szCs w:val="24"/>
        </w:rPr>
        <w:t>selon les caractéristiques optimums et sous l’énergie de Proctor normal, l’essai adopté pour le cisaillement est non consolidé non drainé (UU) avec une vitesse de 1 mm/min et une course de 6 mm de déplacement horizontal on utilisant la boite de cisaillement carrée (36 cm</w:t>
      </w:r>
      <w:r w:rsidRPr="0068735C">
        <w:rPr>
          <w:rFonts w:asciiTheme="majorBidi" w:hAnsiTheme="majorBidi" w:cstheme="majorBidi"/>
          <w:sz w:val="24"/>
          <w:szCs w:val="24"/>
          <w:vertAlign w:val="superscript"/>
        </w:rPr>
        <w:t>2</w:t>
      </w:r>
      <w:r w:rsidRPr="0068735C">
        <w:rPr>
          <w:rFonts w:asciiTheme="majorBidi" w:hAnsiTheme="majorBidi" w:cstheme="majorBidi"/>
          <w:sz w:val="24"/>
          <w:szCs w:val="24"/>
        </w:rPr>
        <w:t xml:space="preserve">), on a pu diviser le contenu du moule Proctor en trois parties représentatives des trois couche du moule ( la couche 1 représente la couche </w:t>
      </w:r>
      <w:r w:rsidR="005F675D" w:rsidRPr="0068735C">
        <w:rPr>
          <w:rFonts w:asciiTheme="majorBidi" w:hAnsiTheme="majorBidi" w:cstheme="majorBidi"/>
          <w:sz w:val="24"/>
          <w:szCs w:val="24"/>
        </w:rPr>
        <w:t>de fond</w:t>
      </w:r>
      <w:r w:rsidRPr="0068735C">
        <w:rPr>
          <w:rFonts w:asciiTheme="majorBidi" w:hAnsiTheme="majorBidi" w:cstheme="majorBidi"/>
          <w:sz w:val="24"/>
          <w:szCs w:val="24"/>
        </w:rPr>
        <w:t>, la couche 2 représente la couche intermédiaire et enfin la couche 3 représente la couche</w:t>
      </w:r>
      <w:r w:rsidR="005F675D" w:rsidRPr="0068735C">
        <w:rPr>
          <w:rFonts w:asciiTheme="majorBidi" w:hAnsiTheme="majorBidi" w:cstheme="majorBidi"/>
          <w:sz w:val="24"/>
          <w:szCs w:val="24"/>
        </w:rPr>
        <w:t xml:space="preserve"> supérieure)</w:t>
      </w:r>
      <w:r w:rsidR="00A963B6" w:rsidRPr="0068735C">
        <w:rPr>
          <w:rFonts w:ascii="Times New Roman" w:hAnsi="Times New Roman" w:cs="Times New Roman"/>
          <w:sz w:val="24"/>
          <w:szCs w:val="24"/>
        </w:rPr>
        <w:t>(figure</w:t>
      </w:r>
      <w:r w:rsidR="00E6135C" w:rsidRPr="0068735C">
        <w:rPr>
          <w:rFonts w:ascii="Times New Roman" w:hAnsi="Times New Roman" w:cs="Times New Roman"/>
          <w:sz w:val="24"/>
          <w:szCs w:val="24"/>
        </w:rPr>
        <w:t xml:space="preserve"> II.9</w:t>
      </w:r>
      <w:r w:rsidR="00A963B6" w:rsidRPr="0068735C">
        <w:rPr>
          <w:rFonts w:ascii="Times New Roman" w:hAnsi="Times New Roman" w:cs="Times New Roman"/>
          <w:sz w:val="24"/>
          <w:szCs w:val="24"/>
        </w:rPr>
        <w:t>).</w:t>
      </w:r>
    </w:p>
    <w:p w:rsidR="00E6135C" w:rsidRPr="0068735C" w:rsidRDefault="00E6135C" w:rsidP="00E371BB">
      <w:pPr>
        <w:autoSpaceDE w:val="0"/>
        <w:autoSpaceDN w:val="0"/>
        <w:adjustRightInd w:val="0"/>
        <w:spacing w:after="0" w:line="360" w:lineRule="auto"/>
        <w:jc w:val="center"/>
        <w:rPr>
          <w:rFonts w:ascii="Times New Roman" w:hAnsi="Times New Roman" w:cs="Times New Roman"/>
          <w:sz w:val="24"/>
          <w:szCs w:val="24"/>
        </w:rPr>
      </w:pPr>
      <w:r w:rsidRPr="0068735C">
        <w:rPr>
          <w:rFonts w:ascii="Times New Roman" w:hAnsi="Times New Roman" w:cs="Times New Roman"/>
          <w:noProof/>
          <w:sz w:val="24"/>
          <w:szCs w:val="24"/>
          <w:lang w:eastAsia="fr-FR"/>
        </w:rPr>
        <w:lastRenderedPageBreak/>
        <w:drawing>
          <wp:anchor distT="0" distB="0" distL="114300" distR="114300" simplePos="0" relativeHeight="251666432" behindDoc="0" locked="0" layoutInCell="1" allowOverlap="1">
            <wp:simplePos x="0" y="0"/>
            <wp:positionH relativeFrom="column">
              <wp:posOffset>1252855</wp:posOffset>
            </wp:positionH>
            <wp:positionV relativeFrom="paragraph">
              <wp:posOffset>243205</wp:posOffset>
            </wp:positionV>
            <wp:extent cx="3540125" cy="2047875"/>
            <wp:effectExtent l="25400" t="0" r="0" b="0"/>
            <wp:wrapSquare wrapText="bothSides"/>
            <wp:docPr id="4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tretch>
                      <a:fillRect/>
                    </a:stretch>
                  </pic:blipFill>
                  <pic:spPr bwMode="auto">
                    <a:xfrm>
                      <a:off x="0" y="0"/>
                      <a:ext cx="3540125" cy="2047875"/>
                    </a:xfrm>
                    <a:prstGeom prst="rect">
                      <a:avLst/>
                    </a:prstGeom>
                    <a:noFill/>
                    <a:ln>
                      <a:noFill/>
                    </a:ln>
                  </pic:spPr>
                </pic:pic>
              </a:graphicData>
            </a:graphic>
          </wp:anchor>
        </w:drawing>
      </w:r>
    </w:p>
    <w:p w:rsidR="00E6135C" w:rsidRPr="0068735C" w:rsidRDefault="00E6135C" w:rsidP="00E371BB">
      <w:pPr>
        <w:autoSpaceDE w:val="0"/>
        <w:autoSpaceDN w:val="0"/>
        <w:adjustRightInd w:val="0"/>
        <w:spacing w:after="0" w:line="360" w:lineRule="auto"/>
        <w:jc w:val="center"/>
        <w:rPr>
          <w:rFonts w:ascii="Times New Roman" w:hAnsi="Times New Roman" w:cs="Times New Roman"/>
          <w:sz w:val="24"/>
          <w:szCs w:val="24"/>
        </w:rPr>
      </w:pPr>
    </w:p>
    <w:p w:rsidR="00E6135C" w:rsidRPr="0068735C" w:rsidRDefault="00E6135C" w:rsidP="00E371BB">
      <w:pPr>
        <w:autoSpaceDE w:val="0"/>
        <w:autoSpaceDN w:val="0"/>
        <w:adjustRightInd w:val="0"/>
        <w:spacing w:after="0" w:line="360" w:lineRule="auto"/>
        <w:jc w:val="center"/>
        <w:rPr>
          <w:rFonts w:ascii="Times New Roman" w:hAnsi="Times New Roman" w:cs="Times New Roman"/>
          <w:sz w:val="24"/>
          <w:szCs w:val="24"/>
        </w:rPr>
      </w:pPr>
    </w:p>
    <w:p w:rsidR="00E6135C" w:rsidRPr="0068735C" w:rsidRDefault="00E6135C" w:rsidP="00E371BB">
      <w:pPr>
        <w:autoSpaceDE w:val="0"/>
        <w:autoSpaceDN w:val="0"/>
        <w:adjustRightInd w:val="0"/>
        <w:spacing w:after="0" w:line="360" w:lineRule="auto"/>
        <w:jc w:val="center"/>
        <w:rPr>
          <w:rFonts w:ascii="Times New Roman" w:hAnsi="Times New Roman" w:cs="Times New Roman"/>
          <w:sz w:val="24"/>
          <w:szCs w:val="24"/>
        </w:rPr>
      </w:pPr>
    </w:p>
    <w:p w:rsidR="00E6135C" w:rsidRPr="0068735C" w:rsidRDefault="00E6135C" w:rsidP="00E371BB">
      <w:pPr>
        <w:autoSpaceDE w:val="0"/>
        <w:autoSpaceDN w:val="0"/>
        <w:adjustRightInd w:val="0"/>
        <w:spacing w:after="0" w:line="360" w:lineRule="auto"/>
        <w:jc w:val="center"/>
        <w:rPr>
          <w:rFonts w:ascii="Times New Roman" w:hAnsi="Times New Roman" w:cs="Times New Roman"/>
          <w:sz w:val="24"/>
          <w:szCs w:val="24"/>
        </w:rPr>
      </w:pPr>
    </w:p>
    <w:p w:rsidR="00E6135C" w:rsidRPr="0068735C" w:rsidRDefault="00E6135C" w:rsidP="00E371BB">
      <w:pPr>
        <w:autoSpaceDE w:val="0"/>
        <w:autoSpaceDN w:val="0"/>
        <w:adjustRightInd w:val="0"/>
        <w:spacing w:after="0" w:line="360" w:lineRule="auto"/>
        <w:jc w:val="center"/>
        <w:rPr>
          <w:rFonts w:ascii="Times New Roman" w:hAnsi="Times New Roman" w:cs="Times New Roman"/>
          <w:sz w:val="24"/>
          <w:szCs w:val="24"/>
        </w:rPr>
      </w:pPr>
    </w:p>
    <w:p w:rsidR="00E6135C" w:rsidRPr="0068735C" w:rsidRDefault="00E6135C" w:rsidP="00E371BB">
      <w:pPr>
        <w:autoSpaceDE w:val="0"/>
        <w:autoSpaceDN w:val="0"/>
        <w:adjustRightInd w:val="0"/>
        <w:spacing w:after="0" w:line="360" w:lineRule="auto"/>
        <w:jc w:val="center"/>
        <w:rPr>
          <w:rFonts w:ascii="Times New Roman" w:hAnsi="Times New Roman" w:cs="Times New Roman"/>
          <w:sz w:val="24"/>
          <w:szCs w:val="24"/>
        </w:rPr>
      </w:pPr>
    </w:p>
    <w:p w:rsidR="00E6135C" w:rsidRPr="0068735C" w:rsidRDefault="00E6135C" w:rsidP="00E371BB">
      <w:pPr>
        <w:autoSpaceDE w:val="0"/>
        <w:autoSpaceDN w:val="0"/>
        <w:adjustRightInd w:val="0"/>
        <w:spacing w:after="0" w:line="360" w:lineRule="auto"/>
        <w:jc w:val="center"/>
        <w:rPr>
          <w:rFonts w:ascii="Times New Roman" w:hAnsi="Times New Roman" w:cs="Times New Roman"/>
          <w:sz w:val="24"/>
          <w:szCs w:val="24"/>
        </w:rPr>
      </w:pPr>
    </w:p>
    <w:p w:rsidR="00E6135C" w:rsidRPr="0068735C" w:rsidRDefault="00E6135C" w:rsidP="00E371BB">
      <w:pPr>
        <w:autoSpaceDE w:val="0"/>
        <w:autoSpaceDN w:val="0"/>
        <w:adjustRightInd w:val="0"/>
        <w:spacing w:after="0" w:line="360" w:lineRule="auto"/>
        <w:jc w:val="center"/>
        <w:rPr>
          <w:rFonts w:ascii="Times New Roman" w:hAnsi="Times New Roman" w:cs="Times New Roman"/>
          <w:sz w:val="24"/>
          <w:szCs w:val="24"/>
        </w:rPr>
      </w:pPr>
    </w:p>
    <w:p w:rsidR="00A963B6" w:rsidRPr="0068735C" w:rsidRDefault="00A963B6" w:rsidP="0039428F">
      <w:pPr>
        <w:autoSpaceDE w:val="0"/>
        <w:autoSpaceDN w:val="0"/>
        <w:adjustRightInd w:val="0"/>
        <w:spacing w:after="0" w:line="360" w:lineRule="auto"/>
        <w:jc w:val="center"/>
        <w:rPr>
          <w:rFonts w:ascii="Times New Roman" w:hAnsi="Times New Roman" w:cs="Times New Roman"/>
          <w:b/>
        </w:rPr>
      </w:pPr>
      <w:r w:rsidRPr="0068735C">
        <w:rPr>
          <w:rFonts w:ascii="Times New Roman" w:hAnsi="Times New Roman" w:cs="Times New Roman"/>
          <w:b/>
        </w:rPr>
        <w:t>Figure II.</w:t>
      </w:r>
      <w:r w:rsidR="00E6135C" w:rsidRPr="0068735C">
        <w:rPr>
          <w:rFonts w:ascii="Times New Roman" w:hAnsi="Times New Roman" w:cs="Times New Roman"/>
          <w:b/>
        </w:rPr>
        <w:t>9</w:t>
      </w:r>
      <w:r w:rsidRPr="0068735C">
        <w:rPr>
          <w:rFonts w:ascii="Times New Roman" w:hAnsi="Times New Roman" w:cs="Times New Roman"/>
          <w:b/>
        </w:rPr>
        <w:t xml:space="preserve"> : </w:t>
      </w:r>
      <w:r w:rsidR="00286E77">
        <w:rPr>
          <w:rFonts w:ascii="Times New Roman" w:hAnsi="Times New Roman" w:cs="Times New Roman"/>
          <w:b/>
        </w:rPr>
        <w:t>Principe de l’essai à la boite</w:t>
      </w:r>
      <w:r w:rsidRPr="0068735C">
        <w:rPr>
          <w:rFonts w:ascii="Times New Roman" w:hAnsi="Times New Roman" w:cs="Times New Roman"/>
          <w:b/>
        </w:rPr>
        <w:t>.</w:t>
      </w:r>
    </w:p>
    <w:p w:rsidR="00E6135C" w:rsidRPr="0068735C" w:rsidRDefault="00E6135C" w:rsidP="0039428F">
      <w:pPr>
        <w:autoSpaceDE w:val="0"/>
        <w:autoSpaceDN w:val="0"/>
        <w:adjustRightInd w:val="0"/>
        <w:spacing w:after="0" w:line="360" w:lineRule="auto"/>
        <w:jc w:val="center"/>
        <w:rPr>
          <w:rFonts w:ascii="Times New Roman" w:hAnsi="Times New Roman" w:cs="Times New Roman"/>
          <w:b/>
        </w:rPr>
      </w:pPr>
    </w:p>
    <w:p w:rsidR="00A963B6" w:rsidRPr="0068735C" w:rsidRDefault="00A963B6" w:rsidP="0039428F">
      <w:pPr>
        <w:spacing w:line="360" w:lineRule="auto"/>
        <w:ind w:firstLine="567"/>
        <w:jc w:val="lowKashida"/>
        <w:rPr>
          <w:rFonts w:asciiTheme="majorBidi" w:hAnsiTheme="majorBidi" w:cstheme="majorBidi"/>
          <w:sz w:val="24"/>
          <w:szCs w:val="24"/>
        </w:rPr>
      </w:pPr>
      <w:r w:rsidRPr="0068735C">
        <w:rPr>
          <w:rFonts w:ascii="Times New Roman" w:eastAsia="Times New Roman" w:hAnsi="Times New Roman" w:cs="Times New Roman"/>
          <w:sz w:val="24"/>
          <w:szCs w:val="24"/>
        </w:rPr>
        <w:t xml:space="preserve">Dans notre cas </w:t>
      </w:r>
      <w:r w:rsidR="00E6135C" w:rsidRPr="0068735C">
        <w:rPr>
          <w:rFonts w:ascii="Times New Roman" w:eastAsia="Times New Roman" w:hAnsi="Times New Roman" w:cs="Times New Roman"/>
          <w:sz w:val="24"/>
          <w:szCs w:val="24"/>
        </w:rPr>
        <w:t>l</w:t>
      </w:r>
      <w:r w:rsidRPr="0068735C">
        <w:rPr>
          <w:rFonts w:ascii="Times New Roman" w:eastAsia="Times New Roman" w:hAnsi="Times New Roman" w:cs="Times New Roman"/>
          <w:sz w:val="24"/>
          <w:szCs w:val="24"/>
        </w:rPr>
        <w:t xml:space="preserve">e but est de déterminer l’effort de cisaillement. L’échantillon de sol est préparé </w:t>
      </w:r>
      <w:r w:rsidRPr="0068735C">
        <w:rPr>
          <w:rFonts w:ascii="Times New Roman" w:hAnsi="Times New Roman" w:cs="Times New Roman"/>
          <w:sz w:val="24"/>
          <w:szCs w:val="24"/>
        </w:rPr>
        <w:t xml:space="preserve">selon les caractéristiques optimums et sous l’énergie de </w:t>
      </w:r>
      <w:r w:rsidR="00E6135C" w:rsidRPr="0068735C">
        <w:rPr>
          <w:rFonts w:ascii="Times New Roman" w:hAnsi="Times New Roman" w:cs="Times New Roman"/>
          <w:sz w:val="24"/>
          <w:szCs w:val="24"/>
        </w:rPr>
        <w:t xml:space="preserve">l’essai </w:t>
      </w:r>
      <w:r w:rsidRPr="0068735C">
        <w:rPr>
          <w:rFonts w:ascii="Times New Roman" w:hAnsi="Times New Roman" w:cs="Times New Roman"/>
          <w:sz w:val="24"/>
          <w:szCs w:val="24"/>
        </w:rPr>
        <w:t xml:space="preserve">Proctor normal, l’essai adopté pour le cisaillement est non consolidé non drainé (UU), </w:t>
      </w:r>
      <w:r w:rsidRPr="0068735C">
        <w:rPr>
          <w:rFonts w:asciiTheme="majorBidi" w:hAnsiTheme="majorBidi" w:cstheme="majorBidi"/>
          <w:sz w:val="24"/>
          <w:szCs w:val="24"/>
        </w:rPr>
        <w:t>à une vitesse de 1 mm/min et une course de 6 mm de déplacement horizontal</w:t>
      </w:r>
      <w:r w:rsidR="00E6135C" w:rsidRPr="0068735C">
        <w:rPr>
          <w:rFonts w:asciiTheme="majorBidi" w:hAnsiTheme="majorBidi" w:cstheme="majorBidi"/>
          <w:sz w:val="24"/>
          <w:szCs w:val="24"/>
        </w:rPr>
        <w:t xml:space="preserve"> (figure II.10).</w:t>
      </w:r>
    </w:p>
    <w:p w:rsidR="00966713" w:rsidRPr="0068735C" w:rsidRDefault="00BD54D1" w:rsidP="00A74F2A">
      <w:pPr>
        <w:spacing w:line="360" w:lineRule="auto"/>
        <w:ind w:firstLine="567"/>
        <w:jc w:val="center"/>
        <w:rPr>
          <w:rFonts w:asciiTheme="majorBidi" w:hAnsiTheme="majorBidi" w:cstheme="majorBidi"/>
          <w:sz w:val="24"/>
          <w:szCs w:val="24"/>
        </w:rPr>
      </w:pPr>
      <w:r w:rsidRPr="0068735C">
        <w:rPr>
          <w:rFonts w:asciiTheme="majorBidi" w:hAnsiTheme="majorBidi" w:cstheme="majorBidi"/>
          <w:noProof/>
          <w:sz w:val="24"/>
          <w:szCs w:val="24"/>
          <w:lang w:eastAsia="fr-FR"/>
        </w:rPr>
        <w:drawing>
          <wp:inline distT="0" distB="0" distL="0" distR="0">
            <wp:extent cx="3009846" cy="2258695"/>
            <wp:effectExtent l="25400" t="0" r="0" b="0"/>
            <wp:docPr id="1" name="Imag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_0218.jpg"/>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09991" cy="2258804"/>
                    </a:xfrm>
                    <a:prstGeom prst="rect">
                      <a:avLst/>
                    </a:prstGeom>
                  </pic:spPr>
                </pic:pic>
              </a:graphicData>
            </a:graphic>
          </wp:inline>
        </w:drawing>
      </w:r>
    </w:p>
    <w:p w:rsidR="00C71A97" w:rsidRPr="0068735C" w:rsidRDefault="00A963B6" w:rsidP="00C71A97">
      <w:pPr>
        <w:spacing w:line="360" w:lineRule="auto"/>
        <w:ind w:firstLine="567"/>
        <w:jc w:val="center"/>
        <w:rPr>
          <w:rFonts w:ascii="Times New Roman" w:hAnsi="Times New Roman" w:cs="Times New Roman"/>
          <w:b/>
        </w:rPr>
      </w:pPr>
      <w:r w:rsidRPr="0068735C">
        <w:rPr>
          <w:rFonts w:ascii="Times New Roman" w:hAnsi="Times New Roman" w:cs="Times New Roman"/>
          <w:b/>
        </w:rPr>
        <w:t>Figure II.1</w:t>
      </w:r>
      <w:r w:rsidR="00E6135C" w:rsidRPr="0068735C">
        <w:rPr>
          <w:rFonts w:ascii="Times New Roman" w:hAnsi="Times New Roman" w:cs="Times New Roman"/>
          <w:b/>
        </w:rPr>
        <w:t>0</w:t>
      </w:r>
      <w:r w:rsidRPr="0068735C">
        <w:rPr>
          <w:rFonts w:ascii="Times New Roman" w:hAnsi="Times New Roman" w:cs="Times New Roman"/>
          <w:b/>
        </w:rPr>
        <w:t>: Appareille de cisaillement direct.</w:t>
      </w:r>
    </w:p>
    <w:p w:rsidR="00E6135C" w:rsidRPr="0068735C" w:rsidRDefault="00E6135C" w:rsidP="00BD54D1">
      <w:pPr>
        <w:spacing w:line="360" w:lineRule="auto"/>
        <w:rPr>
          <w:rFonts w:ascii="Times New Roman" w:hAnsi="Times New Roman" w:cs="Times New Roman"/>
          <w:b/>
        </w:rPr>
      </w:pPr>
    </w:p>
    <w:p w:rsidR="00C71A97" w:rsidRPr="0068735C" w:rsidRDefault="00A963B6" w:rsidP="00BD54D1">
      <w:pPr>
        <w:pStyle w:val="Titre3"/>
        <w:spacing w:before="0" w:line="360" w:lineRule="auto"/>
        <w:rPr>
          <w:rFonts w:ascii="Times New Roman" w:hAnsi="Times New Roman" w:cs="Times New Roman"/>
          <w:color w:val="auto"/>
          <w:sz w:val="24"/>
          <w:szCs w:val="24"/>
        </w:rPr>
      </w:pPr>
      <w:bookmarkStart w:id="22" w:name="_Toc326838032"/>
      <w:r w:rsidRPr="0068735C">
        <w:rPr>
          <w:rFonts w:ascii="Times New Roman" w:hAnsi="Times New Roman" w:cs="Times New Roman"/>
          <w:color w:val="auto"/>
          <w:sz w:val="24"/>
          <w:szCs w:val="24"/>
          <w:lang w:eastAsia="en-US" w:bidi="en-US"/>
        </w:rPr>
        <w:t xml:space="preserve">II.2.2.4 </w:t>
      </w:r>
      <w:r w:rsidRPr="0068735C">
        <w:rPr>
          <w:rFonts w:ascii="Times New Roman" w:hAnsi="Times New Roman" w:cs="Times New Roman"/>
          <w:color w:val="auto"/>
          <w:sz w:val="24"/>
          <w:szCs w:val="24"/>
        </w:rPr>
        <w:t>Essai de gonflement libre (</w:t>
      </w:r>
      <w:r w:rsidRPr="0068735C">
        <w:rPr>
          <w:rFonts w:asciiTheme="majorBidi" w:hAnsiTheme="majorBidi"/>
          <w:color w:val="auto"/>
          <w:spacing w:val="-4"/>
          <w:sz w:val="24"/>
          <w:szCs w:val="24"/>
        </w:rPr>
        <w:t>NF P 94-091</w:t>
      </w:r>
      <w:r w:rsidRPr="0068735C">
        <w:rPr>
          <w:rFonts w:ascii="Times New Roman" w:hAnsi="Times New Roman" w:cs="Times New Roman"/>
          <w:color w:val="auto"/>
          <w:sz w:val="24"/>
          <w:szCs w:val="24"/>
        </w:rPr>
        <w:t>) :</w:t>
      </w:r>
      <w:bookmarkEnd w:id="22"/>
    </w:p>
    <w:p w:rsidR="00C71A97" w:rsidRPr="0068735C" w:rsidRDefault="00C71A97" w:rsidP="00C71A97">
      <w:pPr>
        <w:spacing w:after="0" w:line="360" w:lineRule="auto"/>
        <w:ind w:firstLine="567"/>
        <w:jc w:val="lowKashida"/>
        <w:rPr>
          <w:rFonts w:asciiTheme="majorBidi" w:hAnsiTheme="majorBidi" w:cstheme="majorBidi"/>
          <w:sz w:val="24"/>
          <w:szCs w:val="24"/>
        </w:rPr>
      </w:pPr>
      <w:r w:rsidRPr="0068735C">
        <w:rPr>
          <w:rFonts w:asciiTheme="majorBidi" w:hAnsiTheme="majorBidi" w:cstheme="majorBidi"/>
          <w:sz w:val="24"/>
          <w:szCs w:val="24"/>
        </w:rPr>
        <w:t xml:space="preserve">L’essai de gonflement libre est issu directement des procédures traditionnelles de l’essai </w:t>
      </w:r>
      <w:proofErr w:type="spellStart"/>
      <w:r w:rsidRPr="0068735C">
        <w:rPr>
          <w:rFonts w:asciiTheme="majorBidi" w:hAnsiTheme="majorBidi" w:cstheme="majorBidi"/>
          <w:sz w:val="24"/>
          <w:szCs w:val="24"/>
        </w:rPr>
        <w:t>œdométrique</w:t>
      </w:r>
      <w:proofErr w:type="spellEnd"/>
      <w:r w:rsidRPr="0068735C">
        <w:rPr>
          <w:rFonts w:asciiTheme="majorBidi" w:hAnsiTheme="majorBidi" w:cstheme="majorBidi"/>
          <w:sz w:val="24"/>
          <w:szCs w:val="24"/>
        </w:rPr>
        <w:t>.</w:t>
      </w:r>
    </w:p>
    <w:p w:rsidR="00DC6FBB" w:rsidRPr="0068735C" w:rsidRDefault="00C71A97" w:rsidP="00C71A97">
      <w:pPr>
        <w:spacing w:after="0" w:line="360" w:lineRule="auto"/>
        <w:ind w:firstLine="567"/>
        <w:jc w:val="lowKashida"/>
        <w:rPr>
          <w:rFonts w:asciiTheme="majorBidi" w:hAnsiTheme="majorBidi" w:cstheme="majorBidi"/>
          <w:sz w:val="24"/>
          <w:szCs w:val="24"/>
        </w:rPr>
      </w:pPr>
      <w:r w:rsidRPr="0068735C">
        <w:rPr>
          <w:rFonts w:asciiTheme="majorBidi" w:hAnsiTheme="majorBidi" w:cstheme="majorBidi"/>
          <w:sz w:val="24"/>
          <w:szCs w:val="24"/>
        </w:rPr>
        <w:t xml:space="preserve">Après montage dans la bague </w:t>
      </w:r>
      <w:proofErr w:type="spellStart"/>
      <w:r w:rsidRPr="0068735C">
        <w:rPr>
          <w:rFonts w:asciiTheme="majorBidi" w:hAnsiTheme="majorBidi" w:cstheme="majorBidi"/>
          <w:sz w:val="24"/>
          <w:szCs w:val="24"/>
        </w:rPr>
        <w:t>œdométrique</w:t>
      </w:r>
      <w:proofErr w:type="spellEnd"/>
      <w:r w:rsidRPr="0068735C">
        <w:rPr>
          <w:rFonts w:asciiTheme="majorBidi" w:hAnsiTheme="majorBidi" w:cstheme="majorBidi"/>
          <w:sz w:val="24"/>
          <w:szCs w:val="24"/>
        </w:rPr>
        <w:t xml:space="preserve">, l’éprouvette est imbibée et autorisée à gonfler sous le poids du piston. Une fois le gonflement stabilisé, le chargement s’effectue par paliers selon un taux d’accroissement approprié jusqu’à stabilisation des déformations sous </w:t>
      </w:r>
    </w:p>
    <w:p w:rsidR="00DC6FBB" w:rsidRPr="0068735C" w:rsidRDefault="00DC6FBB" w:rsidP="00C71A97">
      <w:pPr>
        <w:spacing w:after="0" w:line="360" w:lineRule="auto"/>
        <w:ind w:firstLine="567"/>
        <w:jc w:val="lowKashida"/>
        <w:rPr>
          <w:rFonts w:asciiTheme="majorBidi" w:hAnsiTheme="majorBidi" w:cstheme="majorBidi"/>
          <w:sz w:val="24"/>
          <w:szCs w:val="24"/>
        </w:rPr>
      </w:pPr>
    </w:p>
    <w:p w:rsidR="00C71A97" w:rsidRPr="0068735C" w:rsidRDefault="00C71A97" w:rsidP="00D26D7C">
      <w:pPr>
        <w:spacing w:after="0" w:line="360" w:lineRule="auto"/>
        <w:jc w:val="both"/>
        <w:rPr>
          <w:rFonts w:asciiTheme="majorBidi" w:hAnsiTheme="majorBidi" w:cstheme="majorBidi"/>
          <w:sz w:val="24"/>
          <w:szCs w:val="24"/>
        </w:rPr>
      </w:pPr>
      <w:proofErr w:type="gramStart"/>
      <w:r w:rsidRPr="0068735C">
        <w:rPr>
          <w:rFonts w:asciiTheme="majorBidi" w:hAnsiTheme="majorBidi" w:cstheme="majorBidi"/>
          <w:sz w:val="24"/>
          <w:szCs w:val="24"/>
        </w:rPr>
        <w:t>chaque</w:t>
      </w:r>
      <w:proofErr w:type="gramEnd"/>
      <w:r w:rsidRPr="0068735C">
        <w:rPr>
          <w:rFonts w:asciiTheme="majorBidi" w:hAnsiTheme="majorBidi" w:cstheme="majorBidi"/>
          <w:sz w:val="24"/>
          <w:szCs w:val="24"/>
        </w:rPr>
        <w:t xml:space="preserve"> palier. La pression de gonflement correspond à la charge nécessaire pour ramener l’éprouvette à sa hauteur initiale. </w:t>
      </w:r>
    </w:p>
    <w:p w:rsidR="00C71A97" w:rsidRPr="0068735C" w:rsidRDefault="00C71A97" w:rsidP="00D26D7C">
      <w:pPr>
        <w:spacing w:after="0" w:line="360" w:lineRule="auto"/>
        <w:ind w:firstLine="567"/>
        <w:jc w:val="both"/>
        <w:rPr>
          <w:rFonts w:asciiTheme="majorBidi" w:hAnsiTheme="majorBidi" w:cstheme="majorBidi"/>
          <w:sz w:val="24"/>
          <w:szCs w:val="24"/>
        </w:rPr>
      </w:pPr>
      <w:r w:rsidRPr="0068735C">
        <w:rPr>
          <w:rFonts w:asciiTheme="majorBidi" w:hAnsiTheme="majorBidi" w:cstheme="majorBidi"/>
          <w:sz w:val="24"/>
          <w:szCs w:val="24"/>
        </w:rPr>
        <w:t xml:space="preserve">L’avantage de cette méthode est qu’elle nécessite une seule éprouvette et permet d’obtenir, outre la pression de gonflement et le gonflement libre, la courbe de compressibilité du sol saturé (après gonflement). </w:t>
      </w:r>
    </w:p>
    <w:p w:rsidR="00A963B6" w:rsidRPr="0068735C" w:rsidRDefault="00A963B6" w:rsidP="00C71A97"/>
    <w:p w:rsidR="00A963B6" w:rsidRPr="0068735C" w:rsidRDefault="00A963B6" w:rsidP="0039428F">
      <w:pPr>
        <w:pStyle w:val="Titre1"/>
        <w:spacing w:before="0" w:line="360" w:lineRule="auto"/>
        <w:rPr>
          <w:color w:val="auto"/>
          <w:sz w:val="24"/>
          <w:szCs w:val="24"/>
        </w:rPr>
      </w:pPr>
      <w:bookmarkStart w:id="23" w:name="_Toc326838033"/>
      <w:r w:rsidRPr="0068735C">
        <w:rPr>
          <w:color w:val="auto"/>
          <w:sz w:val="24"/>
          <w:szCs w:val="24"/>
        </w:rPr>
        <w:t>ІІ.3 Sol traité:</w:t>
      </w:r>
      <w:bookmarkEnd w:id="23"/>
    </w:p>
    <w:p w:rsidR="00A963B6" w:rsidRPr="0068735C" w:rsidRDefault="00A963B6" w:rsidP="0039428F">
      <w:pPr>
        <w:spacing w:line="360" w:lineRule="auto"/>
        <w:ind w:firstLine="567"/>
        <w:jc w:val="both"/>
        <w:rPr>
          <w:rFonts w:ascii="Times New Roman" w:hAnsi="Times New Roman" w:cs="Times New Roman"/>
          <w:sz w:val="24"/>
          <w:szCs w:val="24"/>
        </w:rPr>
      </w:pPr>
      <w:r w:rsidRPr="0068735C">
        <w:rPr>
          <w:rFonts w:ascii="Times New Roman" w:hAnsi="Times New Roman" w:cs="Times New Roman"/>
          <w:sz w:val="24"/>
          <w:szCs w:val="24"/>
        </w:rPr>
        <w:t>Le même processus que les essais précédente (sans traitement), mais cette fois-ci en ajoutant des teneurs  en ciment : 2% ; 4% ; 6% ; 8%; 10%;</w:t>
      </w:r>
      <w:r w:rsidR="00FF0032" w:rsidRPr="0068735C">
        <w:rPr>
          <w:rFonts w:ascii="Times New Roman" w:hAnsi="Times New Roman" w:cs="Times New Roman"/>
          <w:sz w:val="24"/>
          <w:szCs w:val="24"/>
        </w:rPr>
        <w:t xml:space="preserve"> et</w:t>
      </w:r>
      <w:r w:rsidR="00C26DE9">
        <w:rPr>
          <w:rFonts w:ascii="Times New Roman" w:hAnsi="Times New Roman" w:cs="Times New Roman"/>
          <w:sz w:val="24"/>
          <w:szCs w:val="24"/>
        </w:rPr>
        <w:t xml:space="preserve"> </w:t>
      </w:r>
      <w:r w:rsidRPr="0068735C">
        <w:rPr>
          <w:rFonts w:ascii="Times New Roman" w:hAnsi="Times New Roman" w:cs="Times New Roman"/>
          <w:sz w:val="24"/>
          <w:szCs w:val="24"/>
        </w:rPr>
        <w:t>12%. Pour les essais suiv</w:t>
      </w:r>
      <w:r w:rsidR="00FF0032" w:rsidRPr="0068735C">
        <w:rPr>
          <w:rFonts w:ascii="Times New Roman" w:hAnsi="Times New Roman" w:cs="Times New Roman"/>
          <w:sz w:val="24"/>
          <w:szCs w:val="24"/>
        </w:rPr>
        <w:t>a</w:t>
      </w:r>
      <w:r w:rsidRPr="0068735C">
        <w:rPr>
          <w:rFonts w:ascii="Times New Roman" w:hAnsi="Times New Roman" w:cs="Times New Roman"/>
          <w:sz w:val="24"/>
          <w:szCs w:val="24"/>
        </w:rPr>
        <w:t>nt</w:t>
      </w:r>
      <w:r w:rsidR="00FF0032" w:rsidRPr="0068735C">
        <w:rPr>
          <w:rFonts w:ascii="Times New Roman" w:hAnsi="Times New Roman" w:cs="Times New Roman"/>
          <w:sz w:val="24"/>
          <w:szCs w:val="24"/>
        </w:rPr>
        <w:t>s</w:t>
      </w:r>
      <w:r w:rsidRPr="0068735C">
        <w:rPr>
          <w:rFonts w:ascii="Times New Roman" w:hAnsi="Times New Roman" w:cs="Times New Roman"/>
          <w:sz w:val="24"/>
          <w:szCs w:val="24"/>
        </w:rPr>
        <w:t> :</w:t>
      </w:r>
    </w:p>
    <w:p w:rsidR="00A963B6" w:rsidRPr="0068735C" w:rsidRDefault="00A963B6" w:rsidP="00966713">
      <w:pPr>
        <w:pStyle w:val="Paragraphedeliste"/>
        <w:numPr>
          <w:ilvl w:val="0"/>
          <w:numId w:val="5"/>
        </w:numPr>
        <w:rPr>
          <w:rFonts w:ascii="Times New Roman" w:hAnsi="Times New Roman" w:cs="Times New Roman"/>
          <w:sz w:val="24"/>
          <w:szCs w:val="24"/>
        </w:rPr>
      </w:pPr>
      <w:r w:rsidRPr="0068735C">
        <w:rPr>
          <w:rFonts w:ascii="Times New Roman" w:hAnsi="Times New Roman" w:cs="Times New Roman"/>
          <w:sz w:val="24"/>
          <w:szCs w:val="24"/>
        </w:rPr>
        <w:t>analyse minéralogique</w:t>
      </w:r>
    </w:p>
    <w:p w:rsidR="00A963B6" w:rsidRPr="0068735C" w:rsidRDefault="00A963B6" w:rsidP="00966713">
      <w:pPr>
        <w:pStyle w:val="Paragraphedeliste"/>
        <w:numPr>
          <w:ilvl w:val="0"/>
          <w:numId w:val="5"/>
        </w:numPr>
        <w:rPr>
          <w:rFonts w:ascii="Times New Roman" w:hAnsi="Times New Roman" w:cs="Times New Roman"/>
          <w:sz w:val="24"/>
          <w:szCs w:val="24"/>
        </w:rPr>
      </w:pPr>
      <w:r w:rsidRPr="0068735C">
        <w:rPr>
          <w:rFonts w:ascii="Times New Roman" w:hAnsi="Times New Roman" w:cs="Times New Roman"/>
          <w:sz w:val="24"/>
          <w:szCs w:val="24"/>
        </w:rPr>
        <w:t xml:space="preserve">Les limites d’Atterberg. </w:t>
      </w:r>
    </w:p>
    <w:p w:rsidR="00A963B6" w:rsidRPr="0068735C" w:rsidRDefault="00A963B6" w:rsidP="00966713">
      <w:pPr>
        <w:pStyle w:val="Paragraphedeliste"/>
        <w:numPr>
          <w:ilvl w:val="0"/>
          <w:numId w:val="5"/>
        </w:numPr>
        <w:rPr>
          <w:rFonts w:ascii="Times New Roman" w:hAnsi="Times New Roman" w:cs="Times New Roman"/>
          <w:sz w:val="24"/>
          <w:szCs w:val="24"/>
        </w:rPr>
      </w:pPr>
      <w:r w:rsidRPr="0068735C">
        <w:rPr>
          <w:rFonts w:ascii="Times New Roman" w:hAnsi="Times New Roman" w:cs="Times New Roman"/>
          <w:sz w:val="24"/>
          <w:szCs w:val="24"/>
        </w:rPr>
        <w:t>L’essai au bleu de méthylène.</w:t>
      </w:r>
    </w:p>
    <w:p w:rsidR="00A963B6" w:rsidRPr="0068735C" w:rsidRDefault="00A963B6" w:rsidP="00966713">
      <w:pPr>
        <w:pStyle w:val="Paragraphedeliste"/>
        <w:numPr>
          <w:ilvl w:val="0"/>
          <w:numId w:val="5"/>
        </w:numPr>
        <w:rPr>
          <w:rFonts w:ascii="Times New Roman" w:hAnsi="Times New Roman" w:cs="Times New Roman"/>
          <w:sz w:val="24"/>
          <w:szCs w:val="24"/>
        </w:rPr>
      </w:pPr>
      <w:r w:rsidRPr="0068735C">
        <w:rPr>
          <w:rFonts w:ascii="Times New Roman" w:hAnsi="Times New Roman" w:cs="Times New Roman"/>
          <w:sz w:val="24"/>
          <w:szCs w:val="24"/>
        </w:rPr>
        <w:t>Dégradabilité.</w:t>
      </w:r>
    </w:p>
    <w:p w:rsidR="00A963B6" w:rsidRPr="0068735C" w:rsidRDefault="00A963B6" w:rsidP="00966713">
      <w:pPr>
        <w:pStyle w:val="Paragraphedeliste"/>
        <w:numPr>
          <w:ilvl w:val="0"/>
          <w:numId w:val="6"/>
        </w:numPr>
        <w:rPr>
          <w:rFonts w:ascii="Times New Roman" w:hAnsi="Times New Roman" w:cs="Times New Roman"/>
          <w:sz w:val="24"/>
          <w:szCs w:val="24"/>
        </w:rPr>
      </w:pPr>
      <w:r w:rsidRPr="0068735C">
        <w:rPr>
          <w:rFonts w:ascii="Times New Roman" w:hAnsi="Times New Roman" w:cs="Times New Roman"/>
          <w:sz w:val="24"/>
          <w:szCs w:val="24"/>
        </w:rPr>
        <w:t>Fragmentabilité.</w:t>
      </w:r>
    </w:p>
    <w:p w:rsidR="00A963B6" w:rsidRPr="0068735C" w:rsidRDefault="00C26DE9" w:rsidP="00966713">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Proctor normal</w:t>
      </w:r>
      <w:r w:rsidR="00A963B6" w:rsidRPr="0068735C">
        <w:rPr>
          <w:rFonts w:ascii="Times New Roman" w:hAnsi="Times New Roman" w:cs="Times New Roman"/>
          <w:sz w:val="24"/>
          <w:szCs w:val="24"/>
        </w:rPr>
        <w:t>.</w:t>
      </w:r>
    </w:p>
    <w:p w:rsidR="00A963B6" w:rsidRPr="0068735C" w:rsidRDefault="00A963B6" w:rsidP="00966713">
      <w:pPr>
        <w:pStyle w:val="Paragraphedeliste"/>
        <w:numPr>
          <w:ilvl w:val="0"/>
          <w:numId w:val="6"/>
        </w:numPr>
        <w:rPr>
          <w:rFonts w:ascii="Times New Roman" w:hAnsi="Times New Roman" w:cs="Times New Roman"/>
          <w:sz w:val="24"/>
          <w:szCs w:val="24"/>
        </w:rPr>
      </w:pPr>
      <w:r w:rsidRPr="0068735C">
        <w:rPr>
          <w:rFonts w:ascii="Times New Roman" w:hAnsi="Times New Roman" w:cs="Times New Roman"/>
          <w:sz w:val="24"/>
          <w:szCs w:val="24"/>
        </w:rPr>
        <w:t xml:space="preserve">Essai C.B.R. immédiat et après imbibition. </w:t>
      </w:r>
    </w:p>
    <w:p w:rsidR="002B26EF" w:rsidRPr="0068735C" w:rsidRDefault="00A963B6" w:rsidP="005C1B82">
      <w:pPr>
        <w:pStyle w:val="Paragraphedeliste"/>
        <w:numPr>
          <w:ilvl w:val="0"/>
          <w:numId w:val="6"/>
        </w:numPr>
        <w:rPr>
          <w:rFonts w:ascii="Times New Roman" w:hAnsi="Times New Roman" w:cs="Times New Roman"/>
          <w:sz w:val="24"/>
          <w:szCs w:val="24"/>
        </w:rPr>
      </w:pPr>
      <w:r w:rsidRPr="0068735C">
        <w:rPr>
          <w:rFonts w:ascii="Times New Roman" w:hAnsi="Times New Roman" w:cs="Times New Roman"/>
          <w:sz w:val="24"/>
          <w:szCs w:val="24"/>
        </w:rPr>
        <w:t>Cisaillement.</w:t>
      </w:r>
    </w:p>
    <w:p w:rsidR="002B26EF" w:rsidRPr="0068735C" w:rsidRDefault="002B26EF" w:rsidP="002B26EF">
      <w:pPr>
        <w:rPr>
          <w:rFonts w:ascii="Times New Roman" w:hAnsi="Times New Roman" w:cs="Times New Roman"/>
          <w:sz w:val="24"/>
          <w:szCs w:val="24"/>
        </w:rPr>
      </w:pPr>
    </w:p>
    <w:p w:rsidR="002B26EF" w:rsidRPr="0068735C" w:rsidRDefault="002B26EF" w:rsidP="002B26EF">
      <w:pPr>
        <w:rPr>
          <w:rFonts w:ascii="Times New Roman" w:hAnsi="Times New Roman" w:cs="Times New Roman"/>
          <w:sz w:val="24"/>
          <w:szCs w:val="24"/>
        </w:rPr>
      </w:pPr>
    </w:p>
    <w:p w:rsidR="002B26EF" w:rsidRPr="0068735C" w:rsidRDefault="002B26EF" w:rsidP="002B26EF">
      <w:pPr>
        <w:rPr>
          <w:rFonts w:ascii="Times New Roman" w:hAnsi="Times New Roman" w:cs="Times New Roman"/>
          <w:sz w:val="24"/>
          <w:szCs w:val="24"/>
        </w:rPr>
      </w:pPr>
    </w:p>
    <w:p w:rsidR="002B26EF" w:rsidRPr="0068735C" w:rsidRDefault="002B26EF" w:rsidP="002B26EF">
      <w:pPr>
        <w:rPr>
          <w:rFonts w:ascii="Times New Roman" w:hAnsi="Times New Roman" w:cs="Times New Roman"/>
          <w:sz w:val="24"/>
          <w:szCs w:val="24"/>
        </w:rPr>
      </w:pPr>
    </w:p>
    <w:p w:rsidR="002B26EF" w:rsidRPr="0068735C" w:rsidRDefault="002B26EF" w:rsidP="002B26EF">
      <w:pPr>
        <w:rPr>
          <w:rFonts w:ascii="Times New Roman" w:hAnsi="Times New Roman" w:cs="Times New Roman"/>
          <w:sz w:val="24"/>
          <w:szCs w:val="24"/>
        </w:rPr>
      </w:pPr>
    </w:p>
    <w:p w:rsidR="00D32A84" w:rsidRPr="0068735C" w:rsidRDefault="00D32A84" w:rsidP="00AC1618">
      <w:pPr>
        <w:tabs>
          <w:tab w:val="left" w:pos="1587"/>
        </w:tabs>
        <w:rPr>
          <w:rFonts w:ascii="Times New Roman" w:hAnsi="Times New Roman" w:cs="Times New Roman"/>
          <w:sz w:val="24"/>
          <w:szCs w:val="24"/>
        </w:rPr>
      </w:pPr>
    </w:p>
    <w:sectPr w:rsidR="00D32A84" w:rsidRPr="0068735C" w:rsidSect="0068735C">
      <w:headerReference w:type="default" r:id="rId19"/>
      <w:footerReference w:type="default" r:id="rId20"/>
      <w:pgSz w:w="11906" w:h="16838"/>
      <w:pgMar w:top="1417" w:right="1417" w:bottom="1417" w:left="1417" w:header="708" w:footer="708" w:gutter="0"/>
      <w:pgNumType w:start="3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27A" w:rsidRDefault="001D327A" w:rsidP="005C1B82">
      <w:pPr>
        <w:spacing w:after="0" w:line="240" w:lineRule="auto"/>
      </w:pPr>
      <w:r>
        <w:separator/>
      </w:r>
    </w:p>
  </w:endnote>
  <w:endnote w:type="continuationSeparator" w:id="1">
    <w:p w:rsidR="001D327A" w:rsidRDefault="001D327A" w:rsidP="005C1B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5466472"/>
      <w:docPartObj>
        <w:docPartGallery w:val="Page Numbers (Bottom of Page)"/>
        <w:docPartUnique/>
      </w:docPartObj>
    </w:sdtPr>
    <w:sdtContent>
      <w:p w:rsidR="00D4014D" w:rsidRDefault="00D4014D">
        <w:pPr>
          <w:pStyle w:val="Pieddepage"/>
          <w:jc w:val="center"/>
        </w:pPr>
      </w:p>
      <w:p w:rsidR="00D4014D" w:rsidRDefault="001F14EF">
        <w:pPr>
          <w:pStyle w:val="Pieddepage"/>
          <w:jc w:val="center"/>
        </w:pPr>
        <w:r>
          <w:fldChar w:fldCharType="begin"/>
        </w:r>
        <w:r w:rsidR="0068735C">
          <w:instrText>PAGE    \* MERGEFORMAT</w:instrText>
        </w:r>
        <w:r>
          <w:fldChar w:fldCharType="separate"/>
        </w:r>
        <w:r w:rsidR="002970AF">
          <w:rPr>
            <w:noProof/>
          </w:rPr>
          <w:t>43</w:t>
        </w:r>
        <w:r>
          <w:rPr>
            <w:noProof/>
          </w:rPr>
          <w:fldChar w:fldCharType="end"/>
        </w:r>
      </w:p>
    </w:sdtContent>
  </w:sdt>
  <w:p w:rsidR="00D4014D" w:rsidRDefault="00D4014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27A" w:rsidRDefault="001D327A" w:rsidP="005C1B82">
      <w:pPr>
        <w:spacing w:after="0" w:line="240" w:lineRule="auto"/>
      </w:pPr>
      <w:r>
        <w:separator/>
      </w:r>
    </w:p>
  </w:footnote>
  <w:footnote w:type="continuationSeparator" w:id="1">
    <w:p w:rsidR="001D327A" w:rsidRDefault="001D327A" w:rsidP="005C1B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14D" w:rsidRDefault="001F14EF">
    <w:pPr>
      <w:pStyle w:val="En-tte"/>
    </w:pPr>
    <w:r>
      <w:rPr>
        <w:noProof/>
        <w:lang w:eastAsia="fr-FR"/>
      </w:rPr>
      <w:pict>
        <v:shapetype id="_x0000_t202" coordsize="21600,21600" o:spt="202" path="m,l,21600r21600,l21600,xe">
          <v:stroke joinstyle="miter"/>
          <v:path gradientshapeok="t" o:connecttype="rect"/>
        </v:shapetype>
        <v:shape id="Zone de texte 473" o:spid="_x0000_s4099" type="#_x0000_t202" style="position:absolute;margin-left:48.95pt;margin-top:29.65pt;width:453.4pt;height:12.05pt;z-index:251660288;visibility:visible;mso-width-percent:1000;mso-position-horizontal-relative:margin;mso-position-vertical-relative:top-margin-area;mso-width-percent:10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" o:allowincell="f" filled="f" stroked="f">
          <v:textbox style="mso-next-textbox:#Zone de texte 473" inset=",0,,0">
            <w:txbxContent>
              <w:p w:rsidR="00D4014D" w:rsidRPr="004F0E6F" w:rsidRDefault="00D4014D" w:rsidP="004F0E6F">
                <w:r w:rsidRPr="00AA433B">
                  <w:rPr>
                    <w:rFonts w:ascii="Times New Roman" w:hAnsi="Times New Roman" w:cs="Times New Roman"/>
                  </w:rPr>
                  <w:t>Programme</w:t>
                </w:r>
                <w:r w:rsidR="00853069">
                  <w:rPr>
                    <w:rFonts w:ascii="Times New Roman" w:hAnsi="Times New Roman" w:cs="Times New Roman"/>
                  </w:rPr>
                  <w:t xml:space="preserve"> </w:t>
                </w:r>
                <w:r w:rsidRPr="00AA433B">
                  <w:rPr>
                    <w:rFonts w:ascii="Times New Roman" w:hAnsi="Times New Roman" w:cs="Times New Roman"/>
                  </w:rPr>
                  <w:t>expérimental</w:t>
                </w:r>
                <w:r w:rsidR="00853069">
                  <w:rPr>
                    <w:rFonts w:ascii="Times New Roman" w:hAnsi="Times New Roman" w:cs="Times New Roman"/>
                  </w:rPr>
                  <w:t xml:space="preserve"> et procédures d’essais</w:t>
                </w:r>
              </w:p>
            </w:txbxContent>
          </v:textbox>
          <w10:wrap anchorx="margin" anchory="margin"/>
        </v:shape>
      </w:pict>
    </w:r>
    <w:r>
      <w:rPr>
        <w:noProof/>
        <w:lang w:eastAsia="fr-FR"/>
      </w:rPr>
      <w:pict>
        <v:shape id="Zone de texte 474" o:spid="_x0000_s4098" type="#_x0000_t202" style="position:absolute;margin-left:0;margin-top:0;width:123.4pt;height:13.45pt;z-index:251659264;visibility:visible;mso-position-horizontal:left;mso-position-horizontal-relative:page;mso-position-vertical:center;mso-position-vertical-relative:top-margin-area;mso-width-relative:lef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" o:allowincell="f" fillcolor="#8db3e2 [1311]" stroked="f">
          <v:textbox style="mso-next-textbox:#Zone de texte 474;mso-fit-shape-to-text:t" inset=",0,,0">
            <w:txbxContent>
              <w:p w:rsidR="00D4014D" w:rsidRPr="004A7433" w:rsidRDefault="00D4014D">
                <w:pPr>
                  <w:spacing w:after="0" w:line="240" w:lineRule="auto"/>
                  <w:jc w:val="right"/>
                  <w:rPr>
                    <w:rFonts w:asciiTheme="majorBidi" w:hAnsiTheme="majorBidi" w:cstheme="majorBidi"/>
                    <w:color w:val="FFFFFF" w:themeColor="background1"/>
                  </w:rPr>
                </w:pPr>
                <w:r w:rsidRPr="004A7433">
                  <w:rPr>
                    <w:rFonts w:asciiTheme="majorBidi" w:hAnsiTheme="majorBidi" w:cstheme="majorBidi"/>
                    <w:color w:val="FFFFFF" w:themeColor="background1"/>
                  </w:rPr>
                  <w:t>Chapitre II</w:t>
                </w:r>
              </w:p>
            </w:txbxContent>
          </v:textbox>
          <w10:wrap anchorx="page" anchory="margin"/>
        </v:shape>
      </w:pict>
    </w:r>
    <w:r>
      <w:rPr>
        <w:noProof/>
        <w:lang w:eastAsia="fr-FR"/>
      </w:rPr>
      <w:pict>
        <v:line id="Connecteur droit 1" o:spid="_x0000_s4097" style="position:absolute;flip:y;z-index:251661312;visibility:visible" from="-.05pt,19.65pt" to="453.5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" strokecolor="#8db3e2 [1311]" strokeweight="1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D0586"/>
    <w:multiLevelType w:val="hybridMultilevel"/>
    <w:tmpl w:val="43347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EDA7112"/>
    <w:multiLevelType w:val="hybridMultilevel"/>
    <w:tmpl w:val="34C6E26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5183546"/>
    <w:multiLevelType w:val="hybridMultilevel"/>
    <w:tmpl w:val="08027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3E17FCA"/>
    <w:multiLevelType w:val="hybridMultilevel"/>
    <w:tmpl w:val="75723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BF31499"/>
    <w:multiLevelType w:val="hybridMultilevel"/>
    <w:tmpl w:val="843C55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F555AAC"/>
    <w:multiLevelType w:val="hybridMultilevel"/>
    <w:tmpl w:val="869457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E27DE3"/>
    <w:multiLevelType w:val="hybridMultilevel"/>
    <w:tmpl w:val="6C22D6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B5253D"/>
    <w:multiLevelType w:val="hybridMultilevel"/>
    <w:tmpl w:val="4BF442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8313E2"/>
    <w:multiLevelType w:val="hybridMultilevel"/>
    <w:tmpl w:val="FE1655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5"/>
  </w:num>
  <w:num w:numId="6">
    <w:abstractNumId w:val="6"/>
  </w:num>
  <w:num w:numId="7">
    <w:abstractNumId w:val="7"/>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08"/>
  <w:hyphenationZone w:val="425"/>
  <w:characterSpacingControl w:val="doNotCompress"/>
  <w:hdrShapeDefaults>
    <o:shapedefaults v:ext="edit" spidmax="4101"/>
    <o:shapelayout v:ext="edit">
      <o:idmap v:ext="edit" data="4"/>
    </o:shapelayout>
  </w:hdrShapeDefaults>
  <w:footnotePr>
    <w:footnote w:id="0"/>
    <w:footnote w:id="1"/>
  </w:footnotePr>
  <w:endnotePr>
    <w:endnote w:id="0"/>
    <w:endnote w:id="1"/>
  </w:endnotePr>
  <w:compat/>
  <w:rsids>
    <w:rsidRoot w:val="00022B5C"/>
    <w:rsid w:val="00006A70"/>
    <w:rsid w:val="00022B5C"/>
    <w:rsid w:val="00041E5E"/>
    <w:rsid w:val="00091666"/>
    <w:rsid w:val="00093AC1"/>
    <w:rsid w:val="000B6ED2"/>
    <w:rsid w:val="00107E25"/>
    <w:rsid w:val="001475A0"/>
    <w:rsid w:val="00162366"/>
    <w:rsid w:val="0017237B"/>
    <w:rsid w:val="00197B37"/>
    <w:rsid w:val="001D327A"/>
    <w:rsid w:val="001F14EF"/>
    <w:rsid w:val="002571C4"/>
    <w:rsid w:val="00286544"/>
    <w:rsid w:val="00286E77"/>
    <w:rsid w:val="002970AF"/>
    <w:rsid w:val="002B26EF"/>
    <w:rsid w:val="00357536"/>
    <w:rsid w:val="00375D03"/>
    <w:rsid w:val="0039428F"/>
    <w:rsid w:val="0041439F"/>
    <w:rsid w:val="004A7433"/>
    <w:rsid w:val="004C30F2"/>
    <w:rsid w:val="004F0E6F"/>
    <w:rsid w:val="004F58D2"/>
    <w:rsid w:val="00593561"/>
    <w:rsid w:val="005C1B82"/>
    <w:rsid w:val="005C5AC4"/>
    <w:rsid w:val="005F675D"/>
    <w:rsid w:val="006050AF"/>
    <w:rsid w:val="00652632"/>
    <w:rsid w:val="0068735C"/>
    <w:rsid w:val="00743830"/>
    <w:rsid w:val="00744824"/>
    <w:rsid w:val="00745765"/>
    <w:rsid w:val="00755AA5"/>
    <w:rsid w:val="007D355F"/>
    <w:rsid w:val="0082434A"/>
    <w:rsid w:val="00846908"/>
    <w:rsid w:val="00853069"/>
    <w:rsid w:val="00890FC9"/>
    <w:rsid w:val="008C3F54"/>
    <w:rsid w:val="008D6DBB"/>
    <w:rsid w:val="00966713"/>
    <w:rsid w:val="009C43F9"/>
    <w:rsid w:val="00A672CD"/>
    <w:rsid w:val="00A74F2A"/>
    <w:rsid w:val="00A963B6"/>
    <w:rsid w:val="00AB1CFC"/>
    <w:rsid w:val="00AB5B8C"/>
    <w:rsid w:val="00AC1618"/>
    <w:rsid w:val="00B17AE9"/>
    <w:rsid w:val="00B426D8"/>
    <w:rsid w:val="00B5086D"/>
    <w:rsid w:val="00B80C95"/>
    <w:rsid w:val="00BD54D1"/>
    <w:rsid w:val="00C26DE9"/>
    <w:rsid w:val="00C36F4C"/>
    <w:rsid w:val="00C53AC5"/>
    <w:rsid w:val="00C71A97"/>
    <w:rsid w:val="00C8316B"/>
    <w:rsid w:val="00CA2A39"/>
    <w:rsid w:val="00CA4C3B"/>
    <w:rsid w:val="00CD448E"/>
    <w:rsid w:val="00D26D7C"/>
    <w:rsid w:val="00D3242C"/>
    <w:rsid w:val="00D32A84"/>
    <w:rsid w:val="00D4014D"/>
    <w:rsid w:val="00D44DF4"/>
    <w:rsid w:val="00DA1ED5"/>
    <w:rsid w:val="00DC6FBB"/>
    <w:rsid w:val="00DE40F1"/>
    <w:rsid w:val="00E371BB"/>
    <w:rsid w:val="00E56FA7"/>
    <w:rsid w:val="00E6135C"/>
    <w:rsid w:val="00E7427E"/>
    <w:rsid w:val="00E752DF"/>
    <w:rsid w:val="00EB2F19"/>
    <w:rsid w:val="00F75F5A"/>
    <w:rsid w:val="00F84E20"/>
    <w:rsid w:val="00FF003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3B6"/>
  </w:style>
  <w:style w:type="paragraph" w:styleId="Titre1">
    <w:name w:val="heading 1"/>
    <w:basedOn w:val="Normal"/>
    <w:next w:val="Normal"/>
    <w:link w:val="Titre1Car"/>
    <w:uiPriority w:val="9"/>
    <w:qFormat/>
    <w:rsid w:val="008D6D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8D6DB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8D6DBB"/>
    <w:pPr>
      <w:keepNext/>
      <w:keepLines/>
      <w:spacing w:before="200" w:after="0"/>
      <w:outlineLvl w:val="2"/>
    </w:pPr>
    <w:rPr>
      <w:rFonts w:asciiTheme="majorHAnsi" w:eastAsiaTheme="majorEastAsia" w:hAnsiTheme="majorHAnsi" w:cstheme="majorBidi"/>
      <w:b/>
      <w:bCs/>
      <w:color w:val="4F81BD" w:themeColor="accent1"/>
      <w:lang w:eastAsia="fr-FR"/>
    </w:rPr>
  </w:style>
  <w:style w:type="paragraph" w:styleId="Titre4">
    <w:name w:val="heading 4"/>
    <w:basedOn w:val="Normal"/>
    <w:next w:val="Normal"/>
    <w:link w:val="Titre4Car"/>
    <w:uiPriority w:val="9"/>
    <w:unhideWhenUsed/>
    <w:qFormat/>
    <w:rsid w:val="008D6DBB"/>
    <w:pPr>
      <w:keepNext/>
      <w:keepLines/>
      <w:spacing w:before="200" w:after="0"/>
      <w:outlineLvl w:val="3"/>
    </w:pPr>
    <w:rPr>
      <w:rFonts w:asciiTheme="majorHAnsi" w:eastAsiaTheme="majorEastAsia" w:hAnsiTheme="majorHAnsi" w:cstheme="majorBidi"/>
      <w:b/>
      <w:bCs/>
      <w:i/>
      <w:iCs/>
      <w:color w:val="4F81BD" w:themeColor="accent1"/>
      <w:lang w:eastAsia="fr-FR"/>
    </w:rPr>
  </w:style>
  <w:style w:type="paragraph" w:styleId="Titre5">
    <w:name w:val="heading 5"/>
    <w:basedOn w:val="Normal"/>
    <w:next w:val="Normal"/>
    <w:link w:val="Titre5Car"/>
    <w:uiPriority w:val="9"/>
    <w:unhideWhenUsed/>
    <w:qFormat/>
    <w:rsid w:val="008D6DB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D6DBB"/>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8D6DBB"/>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8D6DBB"/>
    <w:rPr>
      <w:rFonts w:asciiTheme="majorHAnsi" w:eastAsiaTheme="majorEastAsia" w:hAnsiTheme="majorHAnsi" w:cstheme="majorBidi"/>
      <w:b/>
      <w:bCs/>
      <w:color w:val="4F81BD" w:themeColor="accent1"/>
      <w:lang w:eastAsia="fr-FR"/>
    </w:rPr>
  </w:style>
  <w:style w:type="character" w:customStyle="1" w:styleId="Titre4Car">
    <w:name w:val="Titre 4 Car"/>
    <w:basedOn w:val="Policepardfaut"/>
    <w:link w:val="Titre4"/>
    <w:uiPriority w:val="9"/>
    <w:rsid w:val="008D6DBB"/>
    <w:rPr>
      <w:rFonts w:asciiTheme="majorHAnsi" w:eastAsiaTheme="majorEastAsia" w:hAnsiTheme="majorHAnsi" w:cstheme="majorBidi"/>
      <w:b/>
      <w:bCs/>
      <w:i/>
      <w:iCs/>
      <w:color w:val="4F81BD" w:themeColor="accent1"/>
      <w:lang w:eastAsia="fr-FR"/>
    </w:rPr>
  </w:style>
  <w:style w:type="character" w:customStyle="1" w:styleId="Titre5Car">
    <w:name w:val="Titre 5 Car"/>
    <w:basedOn w:val="Policepardfaut"/>
    <w:link w:val="Titre5"/>
    <w:uiPriority w:val="9"/>
    <w:rsid w:val="008D6DBB"/>
    <w:rPr>
      <w:rFonts w:asciiTheme="majorHAnsi" w:eastAsiaTheme="majorEastAsia" w:hAnsiTheme="majorHAnsi" w:cstheme="majorBidi"/>
      <w:color w:val="243F60" w:themeColor="accent1" w:themeShade="7F"/>
    </w:rPr>
  </w:style>
  <w:style w:type="paragraph" w:styleId="Paragraphedeliste">
    <w:name w:val="List Paragraph"/>
    <w:basedOn w:val="Normal"/>
    <w:uiPriority w:val="34"/>
    <w:qFormat/>
    <w:rsid w:val="008D6DBB"/>
    <w:pPr>
      <w:ind w:left="720"/>
      <w:contextualSpacing/>
    </w:pPr>
  </w:style>
  <w:style w:type="paragraph" w:styleId="TM1">
    <w:name w:val="toc 1"/>
    <w:basedOn w:val="Normal"/>
    <w:next w:val="Normal"/>
    <w:autoRedefine/>
    <w:uiPriority w:val="39"/>
    <w:unhideWhenUsed/>
    <w:qFormat/>
    <w:rsid w:val="008D6DBB"/>
    <w:pPr>
      <w:spacing w:after="100"/>
    </w:pPr>
  </w:style>
  <w:style w:type="paragraph" w:styleId="TM2">
    <w:name w:val="toc 2"/>
    <w:basedOn w:val="Normal"/>
    <w:next w:val="Normal"/>
    <w:autoRedefine/>
    <w:uiPriority w:val="39"/>
    <w:unhideWhenUsed/>
    <w:qFormat/>
    <w:rsid w:val="008D6DBB"/>
    <w:pPr>
      <w:spacing w:after="100"/>
      <w:ind w:left="220"/>
    </w:pPr>
  </w:style>
  <w:style w:type="paragraph" w:styleId="TM3">
    <w:name w:val="toc 3"/>
    <w:basedOn w:val="Normal"/>
    <w:next w:val="Normal"/>
    <w:autoRedefine/>
    <w:uiPriority w:val="39"/>
    <w:unhideWhenUsed/>
    <w:qFormat/>
    <w:rsid w:val="008D6DBB"/>
    <w:pPr>
      <w:spacing w:after="100"/>
      <w:ind w:left="440"/>
    </w:pPr>
  </w:style>
  <w:style w:type="paragraph" w:styleId="En-ttedetabledesmatires">
    <w:name w:val="TOC Heading"/>
    <w:basedOn w:val="Titre1"/>
    <w:next w:val="Normal"/>
    <w:uiPriority w:val="39"/>
    <w:semiHidden/>
    <w:unhideWhenUsed/>
    <w:qFormat/>
    <w:rsid w:val="008D6DBB"/>
    <w:pPr>
      <w:outlineLvl w:val="9"/>
    </w:pPr>
  </w:style>
  <w:style w:type="character" w:customStyle="1" w:styleId="lang-grc">
    <w:name w:val="lang-grc"/>
    <w:basedOn w:val="Policepardfaut"/>
    <w:rsid w:val="00A963B6"/>
  </w:style>
  <w:style w:type="character" w:customStyle="1" w:styleId="testohome">
    <w:name w:val="testohome"/>
    <w:basedOn w:val="Policepardfaut"/>
    <w:rsid w:val="00A963B6"/>
  </w:style>
  <w:style w:type="paragraph" w:styleId="Textedebulles">
    <w:name w:val="Balloon Text"/>
    <w:basedOn w:val="Normal"/>
    <w:link w:val="TextedebullesCar"/>
    <w:uiPriority w:val="99"/>
    <w:semiHidden/>
    <w:unhideWhenUsed/>
    <w:rsid w:val="00A963B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963B6"/>
    <w:rPr>
      <w:rFonts w:ascii="Tahoma" w:hAnsi="Tahoma" w:cs="Tahoma"/>
      <w:sz w:val="16"/>
      <w:szCs w:val="16"/>
    </w:rPr>
  </w:style>
  <w:style w:type="paragraph" w:styleId="En-tte">
    <w:name w:val="header"/>
    <w:basedOn w:val="Normal"/>
    <w:link w:val="En-tteCar"/>
    <w:uiPriority w:val="99"/>
    <w:unhideWhenUsed/>
    <w:rsid w:val="005C1B82"/>
    <w:pPr>
      <w:tabs>
        <w:tab w:val="center" w:pos="4536"/>
        <w:tab w:val="right" w:pos="9072"/>
      </w:tabs>
      <w:spacing w:after="0" w:line="240" w:lineRule="auto"/>
    </w:pPr>
  </w:style>
  <w:style w:type="character" w:customStyle="1" w:styleId="En-tteCar">
    <w:name w:val="En-tête Car"/>
    <w:basedOn w:val="Policepardfaut"/>
    <w:link w:val="En-tte"/>
    <w:uiPriority w:val="99"/>
    <w:rsid w:val="005C1B82"/>
  </w:style>
  <w:style w:type="paragraph" w:styleId="Pieddepage">
    <w:name w:val="footer"/>
    <w:basedOn w:val="Normal"/>
    <w:link w:val="PieddepageCar"/>
    <w:uiPriority w:val="99"/>
    <w:unhideWhenUsed/>
    <w:rsid w:val="005C1B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C1B82"/>
  </w:style>
  <w:style w:type="character" w:styleId="Textedelespacerserv">
    <w:name w:val="Placeholder Text"/>
    <w:basedOn w:val="Policepardfaut"/>
    <w:uiPriority w:val="99"/>
    <w:semiHidden/>
    <w:rsid w:val="00E56FA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3B6"/>
  </w:style>
  <w:style w:type="paragraph" w:styleId="Titre1">
    <w:name w:val="heading 1"/>
    <w:basedOn w:val="Normal"/>
    <w:next w:val="Normal"/>
    <w:link w:val="Titre1Car"/>
    <w:uiPriority w:val="9"/>
    <w:qFormat/>
    <w:rsid w:val="008D6D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8D6DB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8D6DBB"/>
    <w:pPr>
      <w:keepNext/>
      <w:keepLines/>
      <w:spacing w:before="200" w:after="0"/>
      <w:outlineLvl w:val="2"/>
    </w:pPr>
    <w:rPr>
      <w:rFonts w:asciiTheme="majorHAnsi" w:eastAsiaTheme="majorEastAsia" w:hAnsiTheme="majorHAnsi" w:cstheme="majorBidi"/>
      <w:b/>
      <w:bCs/>
      <w:color w:val="4F81BD" w:themeColor="accent1"/>
      <w:lang w:eastAsia="fr-FR"/>
    </w:rPr>
  </w:style>
  <w:style w:type="paragraph" w:styleId="Titre4">
    <w:name w:val="heading 4"/>
    <w:basedOn w:val="Normal"/>
    <w:next w:val="Normal"/>
    <w:link w:val="Titre4Car"/>
    <w:uiPriority w:val="9"/>
    <w:unhideWhenUsed/>
    <w:qFormat/>
    <w:rsid w:val="008D6DBB"/>
    <w:pPr>
      <w:keepNext/>
      <w:keepLines/>
      <w:spacing w:before="200" w:after="0"/>
      <w:outlineLvl w:val="3"/>
    </w:pPr>
    <w:rPr>
      <w:rFonts w:asciiTheme="majorHAnsi" w:eastAsiaTheme="majorEastAsia" w:hAnsiTheme="majorHAnsi" w:cstheme="majorBidi"/>
      <w:b/>
      <w:bCs/>
      <w:i/>
      <w:iCs/>
      <w:color w:val="4F81BD" w:themeColor="accent1"/>
      <w:lang w:eastAsia="fr-FR"/>
    </w:rPr>
  </w:style>
  <w:style w:type="paragraph" w:styleId="Titre5">
    <w:name w:val="heading 5"/>
    <w:basedOn w:val="Normal"/>
    <w:next w:val="Normal"/>
    <w:link w:val="Titre5Car"/>
    <w:uiPriority w:val="9"/>
    <w:unhideWhenUsed/>
    <w:qFormat/>
    <w:rsid w:val="008D6DB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D6DBB"/>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8D6DBB"/>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8D6DBB"/>
    <w:rPr>
      <w:rFonts w:asciiTheme="majorHAnsi" w:eastAsiaTheme="majorEastAsia" w:hAnsiTheme="majorHAnsi" w:cstheme="majorBidi"/>
      <w:b/>
      <w:bCs/>
      <w:color w:val="4F81BD" w:themeColor="accent1"/>
      <w:lang w:eastAsia="fr-FR"/>
    </w:rPr>
  </w:style>
  <w:style w:type="character" w:customStyle="1" w:styleId="Titre4Car">
    <w:name w:val="Titre 4 Car"/>
    <w:basedOn w:val="Policepardfaut"/>
    <w:link w:val="Titre4"/>
    <w:uiPriority w:val="9"/>
    <w:rsid w:val="008D6DBB"/>
    <w:rPr>
      <w:rFonts w:asciiTheme="majorHAnsi" w:eastAsiaTheme="majorEastAsia" w:hAnsiTheme="majorHAnsi" w:cstheme="majorBidi"/>
      <w:b/>
      <w:bCs/>
      <w:i/>
      <w:iCs/>
      <w:color w:val="4F81BD" w:themeColor="accent1"/>
      <w:lang w:eastAsia="fr-FR"/>
    </w:rPr>
  </w:style>
  <w:style w:type="character" w:customStyle="1" w:styleId="Titre5Car">
    <w:name w:val="Titre 5 Car"/>
    <w:basedOn w:val="Policepardfaut"/>
    <w:link w:val="Titre5"/>
    <w:uiPriority w:val="9"/>
    <w:rsid w:val="008D6DBB"/>
    <w:rPr>
      <w:rFonts w:asciiTheme="majorHAnsi" w:eastAsiaTheme="majorEastAsia" w:hAnsiTheme="majorHAnsi" w:cstheme="majorBidi"/>
      <w:color w:val="243F60" w:themeColor="accent1" w:themeShade="7F"/>
    </w:rPr>
  </w:style>
  <w:style w:type="paragraph" w:styleId="Paragraphedeliste">
    <w:name w:val="List Paragraph"/>
    <w:basedOn w:val="Normal"/>
    <w:uiPriority w:val="34"/>
    <w:qFormat/>
    <w:rsid w:val="008D6DBB"/>
    <w:pPr>
      <w:ind w:left="720"/>
      <w:contextualSpacing/>
    </w:pPr>
  </w:style>
  <w:style w:type="paragraph" w:styleId="TM1">
    <w:name w:val="toc 1"/>
    <w:basedOn w:val="Normal"/>
    <w:next w:val="Normal"/>
    <w:autoRedefine/>
    <w:uiPriority w:val="39"/>
    <w:unhideWhenUsed/>
    <w:qFormat/>
    <w:rsid w:val="008D6DBB"/>
    <w:pPr>
      <w:spacing w:after="100"/>
    </w:pPr>
  </w:style>
  <w:style w:type="paragraph" w:styleId="TM2">
    <w:name w:val="toc 2"/>
    <w:basedOn w:val="Normal"/>
    <w:next w:val="Normal"/>
    <w:autoRedefine/>
    <w:uiPriority w:val="39"/>
    <w:unhideWhenUsed/>
    <w:qFormat/>
    <w:rsid w:val="008D6DBB"/>
    <w:pPr>
      <w:spacing w:after="100"/>
      <w:ind w:left="220"/>
    </w:pPr>
  </w:style>
  <w:style w:type="paragraph" w:styleId="TM3">
    <w:name w:val="toc 3"/>
    <w:basedOn w:val="Normal"/>
    <w:next w:val="Normal"/>
    <w:autoRedefine/>
    <w:uiPriority w:val="39"/>
    <w:unhideWhenUsed/>
    <w:qFormat/>
    <w:rsid w:val="008D6DBB"/>
    <w:pPr>
      <w:spacing w:after="100"/>
      <w:ind w:left="440"/>
    </w:pPr>
  </w:style>
  <w:style w:type="paragraph" w:styleId="En-ttedetabledesmatires">
    <w:name w:val="TOC Heading"/>
    <w:basedOn w:val="Titre1"/>
    <w:next w:val="Normal"/>
    <w:uiPriority w:val="39"/>
    <w:semiHidden/>
    <w:unhideWhenUsed/>
    <w:qFormat/>
    <w:rsid w:val="008D6DBB"/>
    <w:pPr>
      <w:outlineLvl w:val="9"/>
    </w:pPr>
  </w:style>
  <w:style w:type="character" w:customStyle="1" w:styleId="lang-grc">
    <w:name w:val="lang-grc"/>
    <w:basedOn w:val="Policepardfaut"/>
    <w:rsid w:val="00A963B6"/>
  </w:style>
  <w:style w:type="character" w:customStyle="1" w:styleId="testohome">
    <w:name w:val="testohome"/>
    <w:basedOn w:val="Policepardfaut"/>
    <w:rsid w:val="00A963B6"/>
  </w:style>
  <w:style w:type="paragraph" w:styleId="Textedebulles">
    <w:name w:val="Balloon Text"/>
    <w:basedOn w:val="Normal"/>
    <w:link w:val="TextedebullesCar"/>
    <w:uiPriority w:val="99"/>
    <w:semiHidden/>
    <w:unhideWhenUsed/>
    <w:rsid w:val="00A963B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963B6"/>
    <w:rPr>
      <w:rFonts w:ascii="Tahoma" w:hAnsi="Tahoma" w:cs="Tahoma"/>
      <w:sz w:val="16"/>
      <w:szCs w:val="16"/>
    </w:rPr>
  </w:style>
  <w:style w:type="paragraph" w:styleId="En-tte">
    <w:name w:val="header"/>
    <w:basedOn w:val="Normal"/>
    <w:link w:val="En-tteCar"/>
    <w:uiPriority w:val="99"/>
    <w:unhideWhenUsed/>
    <w:rsid w:val="005C1B82"/>
    <w:pPr>
      <w:tabs>
        <w:tab w:val="center" w:pos="4536"/>
        <w:tab w:val="right" w:pos="9072"/>
      </w:tabs>
      <w:spacing w:after="0" w:line="240" w:lineRule="auto"/>
    </w:pPr>
  </w:style>
  <w:style w:type="character" w:customStyle="1" w:styleId="En-tteCar">
    <w:name w:val="En-tête Car"/>
    <w:basedOn w:val="Policepardfaut"/>
    <w:link w:val="En-tte"/>
    <w:uiPriority w:val="99"/>
    <w:rsid w:val="005C1B82"/>
  </w:style>
  <w:style w:type="paragraph" w:styleId="Pieddepage">
    <w:name w:val="footer"/>
    <w:basedOn w:val="Normal"/>
    <w:link w:val="PieddepageCar"/>
    <w:uiPriority w:val="99"/>
    <w:unhideWhenUsed/>
    <w:rsid w:val="005C1B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C1B8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23" Type="http://schemas.microsoft.com/office/2007/relationships/stylesWithEffects" Target="stylesWithEffects.xml"/><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2167</Words>
  <Characters>11920</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BA7</dc:creator>
  <cp:lastModifiedBy>dimetri</cp:lastModifiedBy>
  <cp:revision>6</cp:revision>
  <dcterms:created xsi:type="dcterms:W3CDTF">2012-06-12T22:54:00Z</dcterms:created>
  <dcterms:modified xsi:type="dcterms:W3CDTF">2012-06-13T07:16:00Z</dcterms:modified>
</cp:coreProperties>
</file>